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8CFF" w14:textId="77777777" w:rsidR="00A42A79" w:rsidRDefault="00F35F28">
      <w:pPr>
        <w:spacing w:after="155" w:line="259" w:lineRule="auto"/>
        <w:ind w:right="9"/>
        <w:jc w:val="center"/>
        <w:rPr>
          <w:b/>
          <w:sz w:val="32"/>
        </w:rPr>
      </w:pPr>
      <w:r>
        <w:rPr>
          <w:b/>
          <w:sz w:val="32"/>
        </w:rPr>
        <w:t xml:space="preserve">Presentation to </w:t>
      </w:r>
      <w:r w:rsidR="00A42A79">
        <w:rPr>
          <w:b/>
          <w:sz w:val="32"/>
        </w:rPr>
        <w:t>Fifth Meeting of All-Party Oireachtas</w:t>
      </w:r>
    </w:p>
    <w:p w14:paraId="3C40A984" w14:textId="1ECC2A80" w:rsidR="00F650AE" w:rsidRDefault="00A42A79">
      <w:pPr>
        <w:spacing w:after="155" w:line="259" w:lineRule="auto"/>
        <w:ind w:right="9"/>
        <w:jc w:val="center"/>
        <w:rPr>
          <w:b/>
          <w:sz w:val="32"/>
        </w:rPr>
      </w:pPr>
      <w:r>
        <w:rPr>
          <w:b/>
          <w:sz w:val="32"/>
        </w:rPr>
        <w:t>Group</w:t>
      </w:r>
      <w:r w:rsidR="00F35F28">
        <w:rPr>
          <w:b/>
          <w:sz w:val="32"/>
        </w:rPr>
        <w:t xml:space="preserve"> on Penal Reform </w:t>
      </w:r>
    </w:p>
    <w:p w14:paraId="5499A0F4" w14:textId="77777777" w:rsidR="00F002E6" w:rsidRDefault="00F002E6">
      <w:pPr>
        <w:spacing w:after="155" w:line="259" w:lineRule="auto"/>
        <w:ind w:right="9"/>
        <w:jc w:val="center"/>
      </w:pPr>
    </w:p>
    <w:p w14:paraId="5F5B30C0" w14:textId="77777777" w:rsidR="00FD7682" w:rsidRDefault="00FD7682">
      <w:pPr>
        <w:spacing w:after="155" w:line="259" w:lineRule="auto"/>
        <w:ind w:right="9"/>
        <w:jc w:val="center"/>
      </w:pPr>
    </w:p>
    <w:p w14:paraId="6EC07F13" w14:textId="7E10ED38" w:rsidR="00F650AE" w:rsidRDefault="00000000">
      <w:pPr>
        <w:spacing w:after="78" w:line="259" w:lineRule="auto"/>
        <w:ind w:right="9"/>
        <w:jc w:val="center"/>
      </w:pPr>
      <w:r>
        <w:rPr>
          <w:b/>
          <w:sz w:val="32"/>
        </w:rPr>
        <w:t xml:space="preserve">Professor Ian O'Donnell </w:t>
      </w:r>
    </w:p>
    <w:p w14:paraId="0A431384" w14:textId="77777777" w:rsidR="00A17D6A" w:rsidRDefault="00A17D6A" w:rsidP="001D5E21">
      <w:pPr>
        <w:spacing w:after="0" w:line="360" w:lineRule="auto"/>
        <w:ind w:left="47" w:firstLine="0"/>
        <w:jc w:val="center"/>
        <w:rPr>
          <w:b/>
          <w:szCs w:val="24"/>
        </w:rPr>
      </w:pPr>
    </w:p>
    <w:p w14:paraId="69D7E1E1" w14:textId="6C6F70B0" w:rsidR="00F650AE" w:rsidRPr="00F35F28" w:rsidRDefault="00000000" w:rsidP="001D5E21">
      <w:pPr>
        <w:spacing w:after="0" w:line="360" w:lineRule="auto"/>
        <w:ind w:left="47" w:firstLine="0"/>
        <w:jc w:val="center"/>
        <w:rPr>
          <w:b/>
          <w:sz w:val="25"/>
          <w:szCs w:val="25"/>
        </w:rPr>
      </w:pPr>
      <w:r w:rsidRPr="00F35F28">
        <w:rPr>
          <w:b/>
          <w:sz w:val="25"/>
          <w:szCs w:val="25"/>
        </w:rPr>
        <w:t xml:space="preserve"> </w:t>
      </w:r>
    </w:p>
    <w:p w14:paraId="5EAB3ED2" w14:textId="77777777" w:rsidR="00D16116" w:rsidRDefault="008300EC" w:rsidP="008300EC">
      <w:pPr>
        <w:spacing w:after="0" w:line="360" w:lineRule="auto"/>
        <w:ind w:left="0" w:firstLine="0"/>
        <w:jc w:val="left"/>
        <w:rPr>
          <w:sz w:val="25"/>
          <w:szCs w:val="25"/>
        </w:rPr>
      </w:pPr>
      <w:r>
        <w:rPr>
          <w:sz w:val="25"/>
          <w:szCs w:val="25"/>
        </w:rPr>
        <w:t>At the outset, it is worth noting that th</w:t>
      </w:r>
      <w:r w:rsidR="00C2204D" w:rsidRPr="00F35F28">
        <w:rPr>
          <w:sz w:val="25"/>
          <w:szCs w:val="25"/>
        </w:rPr>
        <w:t>ere is a reasonable degree of consensus about what needs to be done</w:t>
      </w:r>
      <w:r w:rsidR="00D53BDF" w:rsidRPr="00F35F28">
        <w:rPr>
          <w:sz w:val="25"/>
          <w:szCs w:val="25"/>
        </w:rPr>
        <w:t xml:space="preserve"> in terms of penal reform</w:t>
      </w:r>
      <w:r w:rsidR="00C2204D" w:rsidRPr="00F35F28">
        <w:rPr>
          <w:sz w:val="25"/>
          <w:szCs w:val="25"/>
        </w:rPr>
        <w:t xml:space="preserve">. This can be summarised as follows: to reserve prison for the most serious offenders; to minimise the </w:t>
      </w:r>
      <w:r w:rsidR="00A17D6A" w:rsidRPr="00F35F28">
        <w:rPr>
          <w:sz w:val="25"/>
          <w:szCs w:val="25"/>
        </w:rPr>
        <w:t xml:space="preserve">collateral consequences of </w:t>
      </w:r>
      <w:r w:rsidR="00C2204D" w:rsidRPr="00F35F28">
        <w:rPr>
          <w:sz w:val="25"/>
          <w:szCs w:val="25"/>
        </w:rPr>
        <w:t xml:space="preserve">incarceration </w:t>
      </w:r>
      <w:r w:rsidR="00A17D6A" w:rsidRPr="00F35F28">
        <w:rPr>
          <w:sz w:val="25"/>
          <w:szCs w:val="25"/>
        </w:rPr>
        <w:t xml:space="preserve">for </w:t>
      </w:r>
      <w:r w:rsidR="00C2204D" w:rsidRPr="00F35F28">
        <w:rPr>
          <w:sz w:val="25"/>
          <w:szCs w:val="25"/>
        </w:rPr>
        <w:t xml:space="preserve">them and their families; and to deal with all other </w:t>
      </w:r>
      <w:r w:rsidR="009C0AC9" w:rsidRPr="00F35F28">
        <w:rPr>
          <w:sz w:val="25"/>
          <w:szCs w:val="25"/>
        </w:rPr>
        <w:t>lawbreakers</w:t>
      </w:r>
      <w:r w:rsidR="00C2204D" w:rsidRPr="00F35F28">
        <w:rPr>
          <w:sz w:val="25"/>
          <w:szCs w:val="25"/>
        </w:rPr>
        <w:t xml:space="preserve"> in the community as efficiently, effectively</w:t>
      </w:r>
      <w:r w:rsidR="0029625E" w:rsidRPr="00F35F28">
        <w:rPr>
          <w:sz w:val="25"/>
          <w:szCs w:val="25"/>
        </w:rPr>
        <w:t>,</w:t>
      </w:r>
      <w:r w:rsidR="00C2204D" w:rsidRPr="00F35F28">
        <w:rPr>
          <w:sz w:val="25"/>
          <w:szCs w:val="25"/>
        </w:rPr>
        <w:t xml:space="preserve"> and humanely as possible. </w:t>
      </w:r>
    </w:p>
    <w:p w14:paraId="167F22E4" w14:textId="77777777" w:rsidR="00D16116" w:rsidRDefault="00D16116" w:rsidP="008300EC">
      <w:pPr>
        <w:spacing w:after="0" w:line="360" w:lineRule="auto"/>
        <w:ind w:left="0" w:firstLine="0"/>
        <w:jc w:val="left"/>
        <w:rPr>
          <w:sz w:val="25"/>
          <w:szCs w:val="25"/>
        </w:rPr>
      </w:pPr>
    </w:p>
    <w:p w14:paraId="0857C391" w14:textId="6A95F905" w:rsidR="00D53BDF" w:rsidRPr="00F35F28" w:rsidRDefault="00D53BDF" w:rsidP="008300EC">
      <w:pPr>
        <w:spacing w:after="0" w:line="360" w:lineRule="auto"/>
        <w:ind w:left="0" w:firstLine="0"/>
        <w:jc w:val="left"/>
        <w:rPr>
          <w:sz w:val="25"/>
          <w:szCs w:val="25"/>
        </w:rPr>
      </w:pPr>
      <w:r w:rsidRPr="00F35F28">
        <w:rPr>
          <w:sz w:val="25"/>
          <w:szCs w:val="25"/>
        </w:rPr>
        <w:t>Crime and punishment do enough harm and cost enough money as it is. It is hardly controversial to suggest that the €</w:t>
      </w:r>
      <w:r w:rsidR="008300EC">
        <w:rPr>
          <w:sz w:val="25"/>
          <w:szCs w:val="25"/>
        </w:rPr>
        <w:t xml:space="preserve">1M it costs to keep a dozen people </w:t>
      </w:r>
      <w:r w:rsidR="00151939">
        <w:rPr>
          <w:sz w:val="25"/>
          <w:szCs w:val="25"/>
        </w:rPr>
        <w:t>locked up</w:t>
      </w:r>
      <w:r w:rsidR="008300EC">
        <w:rPr>
          <w:sz w:val="25"/>
          <w:szCs w:val="25"/>
        </w:rPr>
        <w:t xml:space="preserve"> for a year </w:t>
      </w:r>
      <w:r w:rsidRPr="00F35F28">
        <w:rPr>
          <w:sz w:val="25"/>
          <w:szCs w:val="25"/>
        </w:rPr>
        <w:t>could be better spent in numerous ways that are more beneficial to offenders, victims, families</w:t>
      </w:r>
      <w:r w:rsidR="008300EC">
        <w:rPr>
          <w:sz w:val="25"/>
          <w:szCs w:val="25"/>
        </w:rPr>
        <w:t>,</w:t>
      </w:r>
      <w:r w:rsidRPr="00F35F28">
        <w:rPr>
          <w:sz w:val="25"/>
          <w:szCs w:val="25"/>
        </w:rPr>
        <w:t xml:space="preserve"> and communities.</w:t>
      </w:r>
      <w:r w:rsidR="008300EC">
        <w:rPr>
          <w:rStyle w:val="FootnoteReference"/>
          <w:sz w:val="25"/>
          <w:szCs w:val="25"/>
        </w:rPr>
        <w:footnoteReference w:id="1"/>
      </w:r>
    </w:p>
    <w:p w14:paraId="2629BF32" w14:textId="77777777" w:rsidR="00D53BDF" w:rsidRPr="00F35F28" w:rsidRDefault="00D53BDF" w:rsidP="001D5E21">
      <w:pPr>
        <w:spacing w:after="0" w:line="360" w:lineRule="auto"/>
        <w:ind w:left="0" w:firstLine="0"/>
        <w:jc w:val="left"/>
        <w:rPr>
          <w:sz w:val="25"/>
          <w:szCs w:val="25"/>
        </w:rPr>
      </w:pPr>
    </w:p>
    <w:p w14:paraId="02BD58B3" w14:textId="64042F4D" w:rsidR="00302856" w:rsidRPr="00F35F28" w:rsidRDefault="008147AC" w:rsidP="001D5E21">
      <w:pPr>
        <w:spacing w:after="0" w:line="360" w:lineRule="auto"/>
        <w:ind w:left="-5" w:right="-9"/>
        <w:rPr>
          <w:sz w:val="25"/>
          <w:szCs w:val="25"/>
        </w:rPr>
      </w:pPr>
      <w:r w:rsidRPr="00F35F28">
        <w:rPr>
          <w:sz w:val="25"/>
          <w:szCs w:val="25"/>
        </w:rPr>
        <w:t xml:space="preserve">Let’s start with </w:t>
      </w:r>
      <w:r w:rsidR="001875D1">
        <w:rPr>
          <w:sz w:val="25"/>
          <w:szCs w:val="25"/>
        </w:rPr>
        <w:t xml:space="preserve">two </w:t>
      </w:r>
      <w:r w:rsidR="00A17D6A" w:rsidRPr="00F35F28">
        <w:rPr>
          <w:sz w:val="25"/>
          <w:szCs w:val="25"/>
        </w:rPr>
        <w:t xml:space="preserve">items of </w:t>
      </w:r>
      <w:r w:rsidRPr="00F35F28">
        <w:rPr>
          <w:sz w:val="25"/>
          <w:szCs w:val="25"/>
        </w:rPr>
        <w:t>good news.</w:t>
      </w:r>
    </w:p>
    <w:p w14:paraId="1831D947" w14:textId="77777777" w:rsidR="00302856" w:rsidRPr="00F35F28" w:rsidRDefault="00302856" w:rsidP="001D5E21">
      <w:pPr>
        <w:spacing w:after="0" w:line="360" w:lineRule="auto"/>
        <w:ind w:left="-5" w:right="-9"/>
        <w:rPr>
          <w:sz w:val="25"/>
          <w:szCs w:val="25"/>
        </w:rPr>
      </w:pPr>
    </w:p>
    <w:p w14:paraId="3ED31BEB" w14:textId="56394A16" w:rsidR="008147AC" w:rsidRPr="00F35F28" w:rsidRDefault="00BF10F5" w:rsidP="001D5E21">
      <w:pPr>
        <w:spacing w:after="0" w:line="360" w:lineRule="auto"/>
        <w:ind w:left="-5" w:right="-9"/>
        <w:rPr>
          <w:sz w:val="25"/>
          <w:szCs w:val="25"/>
        </w:rPr>
      </w:pPr>
      <w:r w:rsidRPr="00F35F28">
        <w:rPr>
          <w:sz w:val="25"/>
          <w:szCs w:val="25"/>
        </w:rPr>
        <w:t>First</w:t>
      </w:r>
      <w:r w:rsidR="008147AC" w:rsidRPr="00F35F28">
        <w:rPr>
          <w:sz w:val="25"/>
          <w:szCs w:val="25"/>
        </w:rPr>
        <w:t>,</w:t>
      </w:r>
      <w:r w:rsidRPr="00F35F28">
        <w:rPr>
          <w:sz w:val="25"/>
          <w:szCs w:val="25"/>
        </w:rPr>
        <w:t xml:space="preserve"> </w:t>
      </w:r>
      <w:r w:rsidR="00A17D6A" w:rsidRPr="00F35F28">
        <w:rPr>
          <w:sz w:val="25"/>
          <w:szCs w:val="25"/>
        </w:rPr>
        <w:t>since the</w:t>
      </w:r>
      <w:r w:rsidR="00A42A79">
        <w:rPr>
          <w:sz w:val="25"/>
          <w:szCs w:val="25"/>
        </w:rPr>
        <w:t xml:space="preserve"> report of the</w:t>
      </w:r>
      <w:r w:rsidR="00A17D6A" w:rsidRPr="00F35F28">
        <w:rPr>
          <w:sz w:val="25"/>
          <w:szCs w:val="25"/>
        </w:rPr>
        <w:t xml:space="preserve"> </w:t>
      </w:r>
      <w:r w:rsidR="0070654E">
        <w:rPr>
          <w:sz w:val="25"/>
          <w:szCs w:val="25"/>
        </w:rPr>
        <w:t>S</w:t>
      </w:r>
      <w:r w:rsidR="00A17D6A" w:rsidRPr="00F35F28">
        <w:rPr>
          <w:sz w:val="25"/>
          <w:szCs w:val="25"/>
        </w:rPr>
        <w:t>ub-</w:t>
      </w:r>
      <w:r w:rsidR="0070654E">
        <w:rPr>
          <w:sz w:val="25"/>
          <w:szCs w:val="25"/>
        </w:rPr>
        <w:t>C</w:t>
      </w:r>
      <w:r w:rsidR="00A17D6A" w:rsidRPr="00F35F28">
        <w:rPr>
          <w:sz w:val="25"/>
          <w:szCs w:val="25"/>
        </w:rPr>
        <w:t>ommittee</w:t>
      </w:r>
      <w:r w:rsidR="00A42A79">
        <w:rPr>
          <w:sz w:val="25"/>
          <w:szCs w:val="25"/>
        </w:rPr>
        <w:t xml:space="preserve"> on </w:t>
      </w:r>
      <w:r w:rsidR="0070654E">
        <w:rPr>
          <w:sz w:val="25"/>
          <w:szCs w:val="25"/>
        </w:rPr>
        <w:t>P</w:t>
      </w:r>
      <w:r w:rsidR="00A42A79">
        <w:rPr>
          <w:sz w:val="25"/>
          <w:szCs w:val="25"/>
        </w:rPr>
        <w:t xml:space="preserve">enal </w:t>
      </w:r>
      <w:r w:rsidR="0070654E">
        <w:rPr>
          <w:sz w:val="25"/>
          <w:szCs w:val="25"/>
        </w:rPr>
        <w:t>R</w:t>
      </w:r>
      <w:r w:rsidR="00A42A79">
        <w:rPr>
          <w:sz w:val="25"/>
          <w:szCs w:val="25"/>
        </w:rPr>
        <w:t xml:space="preserve">eform </w:t>
      </w:r>
      <w:r w:rsidR="00A17D6A" w:rsidRPr="00F35F28">
        <w:rPr>
          <w:sz w:val="25"/>
          <w:szCs w:val="25"/>
        </w:rPr>
        <w:t xml:space="preserve">was published in 2013, </w:t>
      </w:r>
      <w:r w:rsidRPr="00F35F28">
        <w:rPr>
          <w:sz w:val="25"/>
          <w:szCs w:val="25"/>
        </w:rPr>
        <w:t>the problem of people being committed to prison for fail</w:t>
      </w:r>
      <w:r w:rsidR="00A17D6A" w:rsidRPr="00F35F28">
        <w:rPr>
          <w:sz w:val="25"/>
          <w:szCs w:val="25"/>
        </w:rPr>
        <w:t>ing</w:t>
      </w:r>
      <w:r w:rsidRPr="00F35F28">
        <w:rPr>
          <w:sz w:val="25"/>
          <w:szCs w:val="25"/>
        </w:rPr>
        <w:t xml:space="preserve"> to pay </w:t>
      </w:r>
      <w:r w:rsidR="00393C02" w:rsidRPr="00F35F28">
        <w:rPr>
          <w:sz w:val="25"/>
          <w:szCs w:val="25"/>
        </w:rPr>
        <w:t xml:space="preserve">court-ordered </w:t>
      </w:r>
      <w:r w:rsidRPr="00F35F28">
        <w:rPr>
          <w:sz w:val="25"/>
          <w:szCs w:val="25"/>
        </w:rPr>
        <w:t xml:space="preserve">fines has </w:t>
      </w:r>
      <w:r w:rsidR="00C4033E">
        <w:rPr>
          <w:sz w:val="25"/>
          <w:szCs w:val="25"/>
        </w:rPr>
        <w:t xml:space="preserve">been </w:t>
      </w:r>
      <w:r w:rsidRPr="00F35F28">
        <w:rPr>
          <w:sz w:val="25"/>
          <w:szCs w:val="25"/>
        </w:rPr>
        <w:t xml:space="preserve">largely </w:t>
      </w:r>
      <w:r w:rsidR="001875D1">
        <w:rPr>
          <w:sz w:val="25"/>
          <w:szCs w:val="25"/>
        </w:rPr>
        <w:t>eradicated</w:t>
      </w:r>
      <w:r w:rsidRPr="00F35F28">
        <w:rPr>
          <w:sz w:val="25"/>
          <w:szCs w:val="25"/>
        </w:rPr>
        <w:t xml:space="preserve">. The most </w:t>
      </w:r>
      <w:r w:rsidR="008147AC" w:rsidRPr="00F35F28">
        <w:rPr>
          <w:sz w:val="25"/>
          <w:szCs w:val="25"/>
        </w:rPr>
        <w:t xml:space="preserve">recent </w:t>
      </w:r>
      <w:r w:rsidRPr="00F35F28">
        <w:rPr>
          <w:sz w:val="25"/>
          <w:szCs w:val="25"/>
        </w:rPr>
        <w:t>annual report of the Irish Prison Service relates to 2021</w:t>
      </w:r>
      <w:r w:rsidR="008147AC" w:rsidRPr="00F35F28">
        <w:rPr>
          <w:sz w:val="25"/>
          <w:szCs w:val="25"/>
        </w:rPr>
        <w:t>. It shows that 234 f</w:t>
      </w:r>
      <w:r w:rsidR="00302856" w:rsidRPr="00F35F28">
        <w:rPr>
          <w:sz w:val="25"/>
          <w:szCs w:val="25"/>
        </w:rPr>
        <w:t xml:space="preserve">ine defaulters </w:t>
      </w:r>
      <w:r w:rsidR="008147AC" w:rsidRPr="00F35F28">
        <w:rPr>
          <w:sz w:val="25"/>
          <w:szCs w:val="25"/>
        </w:rPr>
        <w:t>were</w:t>
      </w:r>
      <w:r w:rsidR="00302856" w:rsidRPr="00F35F28">
        <w:rPr>
          <w:sz w:val="25"/>
          <w:szCs w:val="25"/>
        </w:rPr>
        <w:t xml:space="preserve"> committed to prison</w:t>
      </w:r>
      <w:r w:rsidR="00C27425">
        <w:rPr>
          <w:sz w:val="25"/>
          <w:szCs w:val="25"/>
        </w:rPr>
        <w:t xml:space="preserve"> that year</w:t>
      </w:r>
      <w:r w:rsidR="008147AC" w:rsidRPr="00F35F28">
        <w:rPr>
          <w:sz w:val="25"/>
          <w:szCs w:val="25"/>
        </w:rPr>
        <w:t>. This compares with a peak of almost 10,000 in 2015.</w:t>
      </w:r>
      <w:r w:rsidR="008147AC" w:rsidRPr="00F35F28">
        <w:rPr>
          <w:rStyle w:val="FootnoteReference"/>
          <w:sz w:val="25"/>
          <w:szCs w:val="25"/>
        </w:rPr>
        <w:footnoteReference w:id="2"/>
      </w:r>
      <w:r w:rsidR="001875D1">
        <w:rPr>
          <w:sz w:val="25"/>
          <w:szCs w:val="25"/>
        </w:rPr>
        <w:t xml:space="preserve"> </w:t>
      </w:r>
      <w:r w:rsidR="008300EC" w:rsidRPr="00F35F28">
        <w:rPr>
          <w:sz w:val="25"/>
          <w:szCs w:val="25"/>
        </w:rPr>
        <w:t>This is a very welcome development.</w:t>
      </w:r>
    </w:p>
    <w:p w14:paraId="5220F06F" w14:textId="77777777" w:rsidR="008147AC" w:rsidRDefault="008147AC" w:rsidP="001D5E21">
      <w:pPr>
        <w:spacing w:after="0" w:line="360" w:lineRule="auto"/>
        <w:ind w:left="-5" w:right="-9"/>
        <w:rPr>
          <w:sz w:val="25"/>
          <w:szCs w:val="25"/>
        </w:rPr>
      </w:pPr>
    </w:p>
    <w:p w14:paraId="72F653A5" w14:textId="77777777" w:rsidR="00FD7682" w:rsidRDefault="00FD7682" w:rsidP="001D5E21">
      <w:pPr>
        <w:spacing w:after="0" w:line="360" w:lineRule="auto"/>
        <w:ind w:left="-5" w:right="-9"/>
        <w:rPr>
          <w:sz w:val="25"/>
          <w:szCs w:val="25"/>
        </w:rPr>
      </w:pPr>
    </w:p>
    <w:p w14:paraId="6E500F66" w14:textId="01E3C75B" w:rsidR="00302856" w:rsidRPr="00F35F28" w:rsidRDefault="008147AC" w:rsidP="00C27425">
      <w:pPr>
        <w:spacing w:after="0" w:line="360" w:lineRule="auto"/>
        <w:ind w:left="-5" w:right="-9"/>
        <w:rPr>
          <w:sz w:val="25"/>
          <w:szCs w:val="25"/>
        </w:rPr>
      </w:pPr>
      <w:r w:rsidRPr="00F35F28">
        <w:rPr>
          <w:sz w:val="25"/>
          <w:szCs w:val="25"/>
        </w:rPr>
        <w:lastRenderedPageBreak/>
        <w:t>Second,</w:t>
      </w:r>
      <w:r w:rsidR="001875D1">
        <w:rPr>
          <w:sz w:val="25"/>
          <w:szCs w:val="25"/>
        </w:rPr>
        <w:t xml:space="preserve"> i</w:t>
      </w:r>
      <w:r w:rsidRPr="00F35F28">
        <w:rPr>
          <w:sz w:val="25"/>
          <w:szCs w:val="25"/>
        </w:rPr>
        <w:t xml:space="preserve">n 1963, Minister for Justice, Charles Haughey, spoke of the antiquated and unsuitable nature of </w:t>
      </w:r>
      <w:r w:rsidR="001875D1" w:rsidRPr="00F35F28">
        <w:rPr>
          <w:sz w:val="25"/>
          <w:szCs w:val="25"/>
        </w:rPr>
        <w:t xml:space="preserve">St Patrick’s Institution </w:t>
      </w:r>
      <w:r w:rsidRPr="00F35F28">
        <w:rPr>
          <w:sz w:val="25"/>
          <w:szCs w:val="25"/>
        </w:rPr>
        <w:t>and committed to finding an alternative. In 1985, the Whitaker Committee recommended its urgent replacement.</w:t>
      </w:r>
      <w:r w:rsidR="001875D1">
        <w:rPr>
          <w:sz w:val="25"/>
          <w:szCs w:val="25"/>
        </w:rPr>
        <w:t xml:space="preserve"> It</w:t>
      </w:r>
      <w:r w:rsidRPr="00F35F28">
        <w:rPr>
          <w:sz w:val="25"/>
          <w:szCs w:val="25"/>
        </w:rPr>
        <w:t xml:space="preserve"> </w:t>
      </w:r>
      <w:r w:rsidR="001875D1" w:rsidRPr="00F35F28">
        <w:rPr>
          <w:sz w:val="25"/>
          <w:szCs w:val="25"/>
        </w:rPr>
        <w:t>was eventually closed in 2017.</w:t>
      </w:r>
      <w:r w:rsidR="001875D1">
        <w:rPr>
          <w:sz w:val="25"/>
          <w:szCs w:val="25"/>
        </w:rPr>
        <w:t xml:space="preserve"> Again</w:t>
      </w:r>
      <w:r w:rsidR="00C27425">
        <w:rPr>
          <w:sz w:val="25"/>
          <w:szCs w:val="25"/>
        </w:rPr>
        <w:t xml:space="preserve"> – although belated – </w:t>
      </w:r>
      <w:r w:rsidR="00377F6E">
        <w:rPr>
          <w:sz w:val="25"/>
          <w:szCs w:val="25"/>
        </w:rPr>
        <w:t>a</w:t>
      </w:r>
      <w:r w:rsidR="001875D1">
        <w:rPr>
          <w:sz w:val="25"/>
          <w:szCs w:val="25"/>
        </w:rPr>
        <w:t xml:space="preserve"> positive development.</w:t>
      </w:r>
    </w:p>
    <w:p w14:paraId="32180582" w14:textId="77777777" w:rsidR="00A42A79" w:rsidRDefault="00A42A79" w:rsidP="001D5E21">
      <w:pPr>
        <w:spacing w:after="0" w:line="360" w:lineRule="auto"/>
        <w:ind w:left="-5" w:right="-9"/>
        <w:rPr>
          <w:sz w:val="25"/>
          <w:szCs w:val="25"/>
        </w:rPr>
      </w:pPr>
    </w:p>
    <w:p w14:paraId="09655842" w14:textId="1B00966A" w:rsidR="00377F6E" w:rsidRDefault="00393C02" w:rsidP="001D5E21">
      <w:pPr>
        <w:spacing w:after="0" w:line="360" w:lineRule="auto"/>
        <w:ind w:left="-5" w:right="-9"/>
        <w:rPr>
          <w:sz w:val="25"/>
          <w:szCs w:val="25"/>
        </w:rPr>
      </w:pPr>
      <w:r w:rsidRPr="00F35F28">
        <w:rPr>
          <w:sz w:val="25"/>
          <w:szCs w:val="25"/>
        </w:rPr>
        <w:t xml:space="preserve">When the </w:t>
      </w:r>
      <w:r w:rsidR="0070654E">
        <w:rPr>
          <w:sz w:val="25"/>
          <w:szCs w:val="25"/>
        </w:rPr>
        <w:t>S</w:t>
      </w:r>
      <w:r w:rsidRPr="00F35F28">
        <w:rPr>
          <w:sz w:val="25"/>
          <w:szCs w:val="25"/>
        </w:rPr>
        <w:t>ub-</w:t>
      </w:r>
      <w:r w:rsidR="0070654E">
        <w:rPr>
          <w:sz w:val="25"/>
          <w:szCs w:val="25"/>
        </w:rPr>
        <w:t>C</w:t>
      </w:r>
      <w:r w:rsidRPr="00F35F28">
        <w:rPr>
          <w:sz w:val="25"/>
          <w:szCs w:val="25"/>
        </w:rPr>
        <w:t xml:space="preserve">ommittee was established in 2011, the </w:t>
      </w:r>
      <w:r w:rsidR="00F9273D" w:rsidRPr="00F35F28">
        <w:rPr>
          <w:sz w:val="25"/>
          <w:szCs w:val="25"/>
        </w:rPr>
        <w:t xml:space="preserve">daily </w:t>
      </w:r>
      <w:r w:rsidRPr="00F35F28">
        <w:rPr>
          <w:sz w:val="25"/>
          <w:szCs w:val="25"/>
        </w:rPr>
        <w:t>prison population average</w:t>
      </w:r>
      <w:r w:rsidR="00F9273D" w:rsidRPr="00F35F28">
        <w:rPr>
          <w:sz w:val="25"/>
          <w:szCs w:val="25"/>
        </w:rPr>
        <w:t>d</w:t>
      </w:r>
      <w:r w:rsidRPr="00F35F28">
        <w:rPr>
          <w:sz w:val="25"/>
          <w:szCs w:val="25"/>
        </w:rPr>
        <w:t xml:space="preserve"> 4,390. </w:t>
      </w:r>
      <w:r w:rsidR="0092249C" w:rsidRPr="00F35F28">
        <w:rPr>
          <w:sz w:val="25"/>
          <w:szCs w:val="25"/>
        </w:rPr>
        <w:t xml:space="preserve">By the time </w:t>
      </w:r>
      <w:r w:rsidRPr="00F35F28">
        <w:rPr>
          <w:sz w:val="25"/>
          <w:szCs w:val="25"/>
        </w:rPr>
        <w:t>it reported</w:t>
      </w:r>
      <w:r w:rsidR="0092249C" w:rsidRPr="00F35F28">
        <w:rPr>
          <w:sz w:val="25"/>
          <w:szCs w:val="25"/>
        </w:rPr>
        <w:t>,</w:t>
      </w:r>
      <w:r w:rsidRPr="00F35F28">
        <w:rPr>
          <w:sz w:val="25"/>
          <w:szCs w:val="25"/>
        </w:rPr>
        <w:t xml:space="preserve"> a decline in numbers was underway. This continued until 2017, </w:t>
      </w:r>
      <w:r w:rsidR="0092249C" w:rsidRPr="00F35F28">
        <w:rPr>
          <w:sz w:val="25"/>
          <w:szCs w:val="25"/>
        </w:rPr>
        <w:t xml:space="preserve">when </w:t>
      </w:r>
      <w:r w:rsidRPr="00F35F28">
        <w:rPr>
          <w:sz w:val="25"/>
          <w:szCs w:val="25"/>
        </w:rPr>
        <w:t xml:space="preserve">the </w:t>
      </w:r>
      <w:r w:rsidR="00770997" w:rsidRPr="00F35F28">
        <w:rPr>
          <w:sz w:val="25"/>
          <w:szCs w:val="25"/>
        </w:rPr>
        <w:t xml:space="preserve">prison population </w:t>
      </w:r>
      <w:r w:rsidRPr="00F35F28">
        <w:rPr>
          <w:sz w:val="25"/>
          <w:szCs w:val="25"/>
        </w:rPr>
        <w:t xml:space="preserve">had fallen to </w:t>
      </w:r>
      <w:r w:rsidR="00F9273D" w:rsidRPr="00F35F28">
        <w:rPr>
          <w:sz w:val="25"/>
          <w:szCs w:val="25"/>
        </w:rPr>
        <w:t xml:space="preserve">a daily average of </w:t>
      </w:r>
      <w:r w:rsidRPr="00F35F28">
        <w:rPr>
          <w:sz w:val="25"/>
          <w:szCs w:val="25"/>
        </w:rPr>
        <w:t>3,680</w:t>
      </w:r>
      <w:r w:rsidR="00F9273D" w:rsidRPr="00F35F28">
        <w:rPr>
          <w:sz w:val="25"/>
          <w:szCs w:val="25"/>
        </w:rPr>
        <w:t xml:space="preserve">; </w:t>
      </w:r>
      <w:r w:rsidRPr="00F35F28">
        <w:rPr>
          <w:sz w:val="25"/>
          <w:szCs w:val="25"/>
        </w:rPr>
        <w:t xml:space="preserve">a </w:t>
      </w:r>
      <w:r w:rsidR="00550818" w:rsidRPr="00F35F28">
        <w:rPr>
          <w:sz w:val="25"/>
          <w:szCs w:val="25"/>
        </w:rPr>
        <w:t>drop</w:t>
      </w:r>
      <w:r w:rsidRPr="00F35F28">
        <w:rPr>
          <w:sz w:val="25"/>
          <w:szCs w:val="25"/>
        </w:rPr>
        <w:t xml:space="preserve"> of </w:t>
      </w:r>
      <w:r w:rsidR="00AF7B9F" w:rsidRPr="00F35F28">
        <w:rPr>
          <w:sz w:val="25"/>
          <w:szCs w:val="25"/>
        </w:rPr>
        <w:t>17</w:t>
      </w:r>
      <w:r w:rsidRPr="00F35F28">
        <w:rPr>
          <w:sz w:val="25"/>
          <w:szCs w:val="25"/>
        </w:rPr>
        <w:t xml:space="preserve"> per cent</w:t>
      </w:r>
      <w:r w:rsidR="00AF7B9F" w:rsidRPr="00F35F28">
        <w:rPr>
          <w:sz w:val="25"/>
          <w:szCs w:val="25"/>
        </w:rPr>
        <w:t xml:space="preserve"> over six years</w:t>
      </w:r>
      <w:r w:rsidRPr="00F35F28">
        <w:rPr>
          <w:sz w:val="25"/>
          <w:szCs w:val="25"/>
        </w:rPr>
        <w:t xml:space="preserve">. </w:t>
      </w:r>
    </w:p>
    <w:p w14:paraId="269D8E72" w14:textId="77777777" w:rsidR="00377F6E" w:rsidRDefault="00377F6E" w:rsidP="001D5E21">
      <w:pPr>
        <w:spacing w:after="0" w:line="360" w:lineRule="auto"/>
        <w:ind w:left="-5" w:right="-9"/>
        <w:rPr>
          <w:sz w:val="25"/>
          <w:szCs w:val="25"/>
        </w:rPr>
      </w:pPr>
    </w:p>
    <w:p w14:paraId="086C8FCA" w14:textId="69E3AEA6" w:rsidR="00393C02" w:rsidRPr="00F35F28" w:rsidRDefault="00393C02" w:rsidP="001D5E21">
      <w:pPr>
        <w:spacing w:after="0" w:line="360" w:lineRule="auto"/>
        <w:ind w:left="-5" w:right="-9"/>
        <w:rPr>
          <w:sz w:val="25"/>
          <w:szCs w:val="25"/>
        </w:rPr>
      </w:pPr>
      <w:r w:rsidRPr="00F35F28">
        <w:rPr>
          <w:sz w:val="25"/>
          <w:szCs w:val="25"/>
        </w:rPr>
        <w:t xml:space="preserve">There was a slight uptick in 2018 and 2019, but numbers fell again during </w:t>
      </w:r>
      <w:r w:rsidR="00C27425">
        <w:rPr>
          <w:sz w:val="25"/>
          <w:szCs w:val="25"/>
        </w:rPr>
        <w:t xml:space="preserve">the </w:t>
      </w:r>
      <w:r w:rsidRPr="00F35F28">
        <w:rPr>
          <w:sz w:val="25"/>
          <w:szCs w:val="25"/>
        </w:rPr>
        <w:t xml:space="preserve">COVID </w:t>
      </w:r>
      <w:r w:rsidR="00C27425">
        <w:rPr>
          <w:sz w:val="25"/>
          <w:szCs w:val="25"/>
        </w:rPr>
        <w:t xml:space="preserve">pandemic </w:t>
      </w:r>
      <w:r w:rsidRPr="00F35F28">
        <w:rPr>
          <w:sz w:val="25"/>
          <w:szCs w:val="25"/>
        </w:rPr>
        <w:t xml:space="preserve">and the average in 2021 was 3,792. </w:t>
      </w:r>
    </w:p>
    <w:p w14:paraId="47D4EF74" w14:textId="77777777" w:rsidR="00393C02" w:rsidRPr="00F35F28" w:rsidRDefault="00393C02" w:rsidP="001D5E21">
      <w:pPr>
        <w:spacing w:after="0" w:line="360" w:lineRule="auto"/>
        <w:ind w:left="-5" w:right="-9"/>
        <w:rPr>
          <w:sz w:val="25"/>
          <w:szCs w:val="25"/>
        </w:rPr>
      </w:pPr>
    </w:p>
    <w:p w14:paraId="0CE0673B" w14:textId="7953E114" w:rsidR="00302856" w:rsidRPr="00F35F28" w:rsidRDefault="00F9273D" w:rsidP="001D5E21">
      <w:pPr>
        <w:spacing w:after="0" w:line="360" w:lineRule="auto"/>
        <w:ind w:left="-5" w:right="-9"/>
        <w:rPr>
          <w:sz w:val="25"/>
          <w:szCs w:val="25"/>
        </w:rPr>
      </w:pPr>
      <w:r w:rsidRPr="00F35F28">
        <w:rPr>
          <w:sz w:val="25"/>
          <w:szCs w:val="25"/>
        </w:rPr>
        <w:t xml:space="preserve">The factors behind the decline were not clear and I </w:t>
      </w:r>
      <w:r w:rsidR="00AB6254">
        <w:rPr>
          <w:sz w:val="25"/>
          <w:szCs w:val="25"/>
        </w:rPr>
        <w:t>observed</w:t>
      </w:r>
      <w:r w:rsidRPr="00F35F28">
        <w:rPr>
          <w:sz w:val="25"/>
          <w:szCs w:val="25"/>
        </w:rPr>
        <w:t xml:space="preserve"> </w:t>
      </w:r>
      <w:r w:rsidR="001875D1">
        <w:rPr>
          <w:sz w:val="25"/>
          <w:szCs w:val="25"/>
        </w:rPr>
        <w:t>while it was happening</w:t>
      </w:r>
      <w:r w:rsidRPr="00F35F28">
        <w:rPr>
          <w:sz w:val="25"/>
          <w:szCs w:val="25"/>
        </w:rPr>
        <w:t xml:space="preserve"> that: </w:t>
      </w:r>
    </w:p>
    <w:p w14:paraId="5C898A04" w14:textId="77777777" w:rsidR="00393C02" w:rsidRPr="00F35F28" w:rsidRDefault="00393C02" w:rsidP="001D5E21">
      <w:pPr>
        <w:spacing w:after="0" w:line="360" w:lineRule="auto"/>
        <w:ind w:left="-5" w:right="-9"/>
        <w:rPr>
          <w:sz w:val="25"/>
          <w:szCs w:val="25"/>
        </w:rPr>
      </w:pPr>
    </w:p>
    <w:p w14:paraId="11427C38" w14:textId="5F34D1E3" w:rsidR="00F9273D" w:rsidRPr="00F35F28" w:rsidRDefault="00302856" w:rsidP="001D5E21">
      <w:pPr>
        <w:spacing w:after="0" w:line="360" w:lineRule="auto"/>
        <w:ind w:left="720"/>
        <w:rPr>
          <w:sz w:val="25"/>
          <w:szCs w:val="25"/>
        </w:rPr>
      </w:pPr>
      <w:r w:rsidRPr="00F35F28">
        <w:rPr>
          <w:sz w:val="25"/>
          <w:szCs w:val="25"/>
        </w:rPr>
        <w:t>“</w:t>
      </w:r>
      <w:r w:rsidR="00F45F89" w:rsidRPr="00F35F28">
        <w:rPr>
          <w:sz w:val="25"/>
          <w:szCs w:val="25"/>
        </w:rPr>
        <w:t xml:space="preserve">If some of the cost savings associated with falling prisoner numbers were directed towards a programme of research to deepen understanding and guide policy, a short-term gain might be converted into a sustainable programme of decarceration </w:t>
      </w:r>
      <w:r w:rsidR="000B3739" w:rsidRPr="00F35F28">
        <w:rPr>
          <w:sz w:val="25"/>
          <w:szCs w:val="25"/>
        </w:rPr>
        <w:t>…</w:t>
      </w:r>
      <w:r w:rsidR="00F45F89" w:rsidRPr="00F35F28">
        <w:rPr>
          <w:sz w:val="25"/>
          <w:szCs w:val="25"/>
        </w:rPr>
        <w:t xml:space="preserve"> It would be a matter of considerable regret if what might prove to be a once-in-a-generation opportunity was not seized.</w:t>
      </w:r>
      <w:r w:rsidR="00F9273D" w:rsidRPr="00F35F28">
        <w:rPr>
          <w:sz w:val="25"/>
          <w:szCs w:val="25"/>
        </w:rPr>
        <w:t>”</w:t>
      </w:r>
      <w:r w:rsidR="00F9273D" w:rsidRPr="00F35F28">
        <w:rPr>
          <w:rStyle w:val="FootnoteReference"/>
          <w:sz w:val="25"/>
          <w:szCs w:val="25"/>
        </w:rPr>
        <w:footnoteReference w:id="3"/>
      </w:r>
    </w:p>
    <w:p w14:paraId="40FF2F5E" w14:textId="77777777" w:rsidR="00F9273D" w:rsidRPr="00F35F28" w:rsidRDefault="00F9273D" w:rsidP="001D5E21">
      <w:pPr>
        <w:spacing w:after="0" w:line="360" w:lineRule="auto"/>
        <w:ind w:left="0" w:firstLine="0"/>
        <w:rPr>
          <w:sz w:val="25"/>
          <w:szCs w:val="25"/>
        </w:rPr>
      </w:pPr>
    </w:p>
    <w:p w14:paraId="2F1EC8AE" w14:textId="26740081" w:rsidR="00550818" w:rsidRPr="00F35F28" w:rsidRDefault="00C2204D" w:rsidP="001D5E21">
      <w:pPr>
        <w:spacing w:after="0" w:line="360" w:lineRule="auto"/>
        <w:ind w:left="-5" w:right="-9"/>
        <w:rPr>
          <w:sz w:val="25"/>
          <w:szCs w:val="25"/>
        </w:rPr>
      </w:pPr>
      <w:r w:rsidRPr="00F35F28">
        <w:rPr>
          <w:sz w:val="25"/>
          <w:szCs w:val="25"/>
        </w:rPr>
        <w:t xml:space="preserve">Regrettably, the opportunity </w:t>
      </w:r>
      <w:r w:rsidR="00F9273D" w:rsidRPr="00F35F28">
        <w:rPr>
          <w:sz w:val="25"/>
          <w:szCs w:val="25"/>
        </w:rPr>
        <w:t xml:space="preserve">was not seized, and the trend has gone </w:t>
      </w:r>
      <w:r w:rsidRPr="00F35F28">
        <w:rPr>
          <w:sz w:val="25"/>
          <w:szCs w:val="25"/>
        </w:rPr>
        <w:t xml:space="preserve">steeply </w:t>
      </w:r>
      <w:r w:rsidR="00F9273D" w:rsidRPr="00F35F28">
        <w:rPr>
          <w:sz w:val="25"/>
          <w:szCs w:val="25"/>
        </w:rPr>
        <w:t xml:space="preserve">into reverse. </w:t>
      </w:r>
      <w:r w:rsidR="00550818" w:rsidRPr="00F35F28">
        <w:rPr>
          <w:sz w:val="25"/>
          <w:szCs w:val="25"/>
        </w:rPr>
        <w:t>Th</w:t>
      </w:r>
      <w:r w:rsidRPr="00F35F28">
        <w:rPr>
          <w:sz w:val="25"/>
          <w:szCs w:val="25"/>
        </w:rPr>
        <w:t>ere are</w:t>
      </w:r>
      <w:r w:rsidR="00770997" w:rsidRPr="00F35F28">
        <w:rPr>
          <w:sz w:val="25"/>
          <w:szCs w:val="25"/>
        </w:rPr>
        <w:t xml:space="preserve"> now over 4,500</w:t>
      </w:r>
      <w:r w:rsidR="00F9273D" w:rsidRPr="00F35F28">
        <w:rPr>
          <w:sz w:val="25"/>
          <w:szCs w:val="25"/>
        </w:rPr>
        <w:t xml:space="preserve"> </w:t>
      </w:r>
      <w:r w:rsidR="0098064E" w:rsidRPr="00F35F28">
        <w:rPr>
          <w:sz w:val="25"/>
          <w:szCs w:val="25"/>
        </w:rPr>
        <w:t xml:space="preserve">men and women </w:t>
      </w:r>
      <w:r w:rsidR="00F9273D" w:rsidRPr="00F35F28">
        <w:rPr>
          <w:sz w:val="25"/>
          <w:szCs w:val="25"/>
        </w:rPr>
        <w:t>in custody</w:t>
      </w:r>
      <w:r w:rsidR="0098064E" w:rsidRPr="00F35F28">
        <w:rPr>
          <w:sz w:val="25"/>
          <w:szCs w:val="25"/>
        </w:rPr>
        <w:t xml:space="preserve">; a jump of </w:t>
      </w:r>
      <w:r w:rsidR="00AF7B9F" w:rsidRPr="00F35F28">
        <w:rPr>
          <w:sz w:val="25"/>
          <w:szCs w:val="25"/>
        </w:rPr>
        <w:t>20</w:t>
      </w:r>
      <w:r w:rsidR="0098064E" w:rsidRPr="00F35F28">
        <w:rPr>
          <w:sz w:val="25"/>
          <w:szCs w:val="25"/>
        </w:rPr>
        <w:t xml:space="preserve"> per</w:t>
      </w:r>
      <w:r w:rsidR="000B3739" w:rsidRPr="00F35F28">
        <w:rPr>
          <w:sz w:val="25"/>
          <w:szCs w:val="25"/>
        </w:rPr>
        <w:t xml:space="preserve"> </w:t>
      </w:r>
      <w:r w:rsidR="0098064E" w:rsidRPr="00F35F28">
        <w:rPr>
          <w:sz w:val="25"/>
          <w:szCs w:val="25"/>
        </w:rPr>
        <w:t>cent in two years</w:t>
      </w:r>
      <w:r w:rsidR="00F9273D" w:rsidRPr="00F35F28">
        <w:rPr>
          <w:sz w:val="25"/>
          <w:szCs w:val="25"/>
        </w:rPr>
        <w:t>.</w:t>
      </w:r>
      <w:r w:rsidR="0098064E" w:rsidRPr="00F35F28">
        <w:rPr>
          <w:rStyle w:val="FootnoteReference"/>
          <w:sz w:val="25"/>
          <w:szCs w:val="25"/>
        </w:rPr>
        <w:footnoteReference w:id="4"/>
      </w:r>
      <w:r w:rsidR="00F9273D" w:rsidRPr="00F35F28">
        <w:rPr>
          <w:sz w:val="25"/>
          <w:szCs w:val="25"/>
        </w:rPr>
        <w:t xml:space="preserve"> </w:t>
      </w:r>
      <w:r w:rsidR="0098064E" w:rsidRPr="00F35F28">
        <w:rPr>
          <w:sz w:val="25"/>
          <w:szCs w:val="25"/>
        </w:rPr>
        <w:t xml:space="preserve">This sudden rise </w:t>
      </w:r>
      <w:r w:rsidR="000B3739" w:rsidRPr="00F35F28">
        <w:rPr>
          <w:sz w:val="25"/>
          <w:szCs w:val="25"/>
        </w:rPr>
        <w:t xml:space="preserve">is </w:t>
      </w:r>
      <w:r w:rsidR="0098064E" w:rsidRPr="00F35F28">
        <w:rPr>
          <w:sz w:val="25"/>
          <w:szCs w:val="25"/>
        </w:rPr>
        <w:t>put</w:t>
      </w:r>
      <w:r w:rsidR="000B3739" w:rsidRPr="00F35F28">
        <w:rPr>
          <w:sz w:val="25"/>
          <w:szCs w:val="25"/>
        </w:rPr>
        <w:t>ting</w:t>
      </w:r>
      <w:r w:rsidR="0098064E" w:rsidRPr="00F35F28">
        <w:rPr>
          <w:sz w:val="25"/>
          <w:szCs w:val="25"/>
        </w:rPr>
        <w:t xml:space="preserve"> the system under strain</w:t>
      </w:r>
      <w:r w:rsidR="000B3739" w:rsidRPr="00F35F28">
        <w:rPr>
          <w:sz w:val="25"/>
          <w:szCs w:val="25"/>
        </w:rPr>
        <w:t>.</w:t>
      </w:r>
      <w:r w:rsidR="0098064E" w:rsidRPr="00F35F28">
        <w:rPr>
          <w:sz w:val="25"/>
          <w:szCs w:val="25"/>
        </w:rPr>
        <w:t xml:space="preserve"> </w:t>
      </w:r>
    </w:p>
    <w:p w14:paraId="2BBBD8DE" w14:textId="77777777" w:rsidR="00550818" w:rsidRPr="00F35F28" w:rsidRDefault="00550818" w:rsidP="001D5E21">
      <w:pPr>
        <w:spacing w:after="0" w:line="360" w:lineRule="auto"/>
        <w:ind w:left="-5" w:right="-9"/>
        <w:rPr>
          <w:sz w:val="25"/>
          <w:szCs w:val="25"/>
        </w:rPr>
      </w:pPr>
    </w:p>
    <w:p w14:paraId="34E89811" w14:textId="514BB359" w:rsidR="00AE0D60" w:rsidRDefault="00AE0D60" w:rsidP="001D5E21">
      <w:pPr>
        <w:spacing w:after="0" w:line="360" w:lineRule="auto"/>
        <w:ind w:left="0" w:firstLine="0"/>
        <w:rPr>
          <w:sz w:val="25"/>
          <w:szCs w:val="25"/>
        </w:rPr>
      </w:pPr>
    </w:p>
    <w:p w14:paraId="2C8AEFFD" w14:textId="77777777" w:rsidR="00FD7682" w:rsidRPr="00F35F28" w:rsidRDefault="00FD7682" w:rsidP="001D5E21">
      <w:pPr>
        <w:spacing w:after="0" w:line="360" w:lineRule="auto"/>
        <w:ind w:left="0" w:firstLine="0"/>
        <w:rPr>
          <w:sz w:val="25"/>
          <w:szCs w:val="25"/>
        </w:rPr>
      </w:pPr>
    </w:p>
    <w:p w14:paraId="1C55D8C3" w14:textId="2F6975EC" w:rsidR="00AE0D60" w:rsidRPr="00F35F28" w:rsidRDefault="00AE0D60" w:rsidP="001D5E21">
      <w:pPr>
        <w:spacing w:after="0" w:line="360" w:lineRule="auto"/>
        <w:ind w:left="0" w:firstLine="0"/>
        <w:rPr>
          <w:sz w:val="25"/>
          <w:szCs w:val="25"/>
        </w:rPr>
      </w:pPr>
      <w:r w:rsidRPr="00F35F28">
        <w:rPr>
          <w:sz w:val="25"/>
          <w:szCs w:val="25"/>
        </w:rPr>
        <w:lastRenderedPageBreak/>
        <w:t>Turning n</w:t>
      </w:r>
      <w:r w:rsidR="00F002E6">
        <w:rPr>
          <w:sz w:val="25"/>
          <w:szCs w:val="25"/>
        </w:rPr>
        <w:t>ow</w:t>
      </w:r>
      <w:r w:rsidRPr="00F35F28">
        <w:rPr>
          <w:sz w:val="25"/>
          <w:szCs w:val="25"/>
        </w:rPr>
        <w:t xml:space="preserve"> to the </w:t>
      </w:r>
      <w:r w:rsidR="0070654E">
        <w:rPr>
          <w:sz w:val="25"/>
          <w:szCs w:val="25"/>
        </w:rPr>
        <w:t>S</w:t>
      </w:r>
      <w:r w:rsidRPr="00F35F28">
        <w:rPr>
          <w:sz w:val="25"/>
          <w:szCs w:val="25"/>
        </w:rPr>
        <w:t>ub-</w:t>
      </w:r>
      <w:r w:rsidR="0070654E">
        <w:rPr>
          <w:sz w:val="25"/>
          <w:szCs w:val="25"/>
        </w:rPr>
        <w:t>C</w:t>
      </w:r>
      <w:r w:rsidRPr="00F35F28">
        <w:rPr>
          <w:sz w:val="25"/>
          <w:szCs w:val="25"/>
        </w:rPr>
        <w:t>ommittee’s recommendations.</w:t>
      </w:r>
    </w:p>
    <w:p w14:paraId="6DE27978" w14:textId="77777777" w:rsidR="00302856" w:rsidRDefault="00302856" w:rsidP="001D5E21">
      <w:pPr>
        <w:spacing w:after="0" w:line="360" w:lineRule="auto"/>
        <w:ind w:left="-5" w:right="-9"/>
        <w:rPr>
          <w:sz w:val="25"/>
          <w:szCs w:val="25"/>
        </w:rPr>
      </w:pPr>
    </w:p>
    <w:p w14:paraId="30F5A268" w14:textId="31D5D126" w:rsidR="00C27425" w:rsidRDefault="008C3E1C" w:rsidP="00C27425">
      <w:pPr>
        <w:spacing w:after="0" w:line="360" w:lineRule="auto"/>
        <w:ind w:left="-5" w:right="-9"/>
        <w:rPr>
          <w:sz w:val="25"/>
          <w:szCs w:val="25"/>
        </w:rPr>
      </w:pPr>
      <w:r w:rsidRPr="00F35F28">
        <w:rPr>
          <w:sz w:val="25"/>
          <w:szCs w:val="25"/>
        </w:rPr>
        <w:t xml:space="preserve">The </w:t>
      </w:r>
      <w:r w:rsidRPr="00F35F28">
        <w:rPr>
          <w:sz w:val="25"/>
          <w:szCs w:val="25"/>
          <w:u w:val="single"/>
        </w:rPr>
        <w:t>first recommendation</w:t>
      </w:r>
      <w:r w:rsidRPr="00F35F28">
        <w:rPr>
          <w:sz w:val="25"/>
          <w:szCs w:val="25"/>
        </w:rPr>
        <w:t xml:space="preserve"> was for a policy of decarceration. </w:t>
      </w:r>
      <w:r w:rsidR="00AE0D60" w:rsidRPr="00F35F28">
        <w:rPr>
          <w:sz w:val="25"/>
          <w:szCs w:val="25"/>
        </w:rPr>
        <w:t>T</w:t>
      </w:r>
      <w:r w:rsidR="00151939">
        <w:rPr>
          <w:sz w:val="25"/>
          <w:szCs w:val="25"/>
        </w:rPr>
        <w:t>o its great credit, t</w:t>
      </w:r>
      <w:r w:rsidR="00AE0D60" w:rsidRPr="00F35F28">
        <w:rPr>
          <w:sz w:val="25"/>
          <w:szCs w:val="25"/>
        </w:rPr>
        <w:t xml:space="preserve">he </w:t>
      </w:r>
      <w:r w:rsidR="00F002E6">
        <w:rPr>
          <w:sz w:val="25"/>
          <w:szCs w:val="25"/>
        </w:rPr>
        <w:t>S</w:t>
      </w:r>
      <w:r w:rsidR="00AE0D60" w:rsidRPr="00F35F28">
        <w:rPr>
          <w:sz w:val="25"/>
          <w:szCs w:val="25"/>
        </w:rPr>
        <w:t>ub-</w:t>
      </w:r>
      <w:r w:rsidR="00F002E6">
        <w:rPr>
          <w:sz w:val="25"/>
          <w:szCs w:val="25"/>
        </w:rPr>
        <w:t>C</w:t>
      </w:r>
      <w:r w:rsidR="00AE0D60" w:rsidRPr="00F35F28">
        <w:rPr>
          <w:sz w:val="25"/>
          <w:szCs w:val="25"/>
        </w:rPr>
        <w:t>ommittee</w:t>
      </w:r>
      <w:r w:rsidRPr="00F35F28">
        <w:rPr>
          <w:sz w:val="25"/>
          <w:szCs w:val="25"/>
        </w:rPr>
        <w:t xml:space="preserve"> went further than simply expressing an aspiration that the prison population be reduced. It s</w:t>
      </w:r>
      <w:r w:rsidR="000B3739" w:rsidRPr="00F35F28">
        <w:rPr>
          <w:sz w:val="25"/>
          <w:szCs w:val="25"/>
        </w:rPr>
        <w:t xml:space="preserve">pecified </w:t>
      </w:r>
      <w:r w:rsidRPr="00F35F28">
        <w:rPr>
          <w:sz w:val="25"/>
          <w:szCs w:val="25"/>
        </w:rPr>
        <w:t xml:space="preserve">the </w:t>
      </w:r>
      <w:r w:rsidR="00F94E27" w:rsidRPr="00F35F28">
        <w:rPr>
          <w:sz w:val="25"/>
          <w:szCs w:val="25"/>
        </w:rPr>
        <w:t xml:space="preserve">magnitude of the </w:t>
      </w:r>
      <w:r w:rsidRPr="00F35F28">
        <w:rPr>
          <w:sz w:val="25"/>
          <w:szCs w:val="25"/>
        </w:rPr>
        <w:t>desired reduction (one third) and the timeframe over which it should be achieved (10 years).</w:t>
      </w:r>
      <w:r w:rsidR="007A532A" w:rsidRPr="00F35F28">
        <w:rPr>
          <w:sz w:val="25"/>
          <w:szCs w:val="25"/>
        </w:rPr>
        <w:t xml:space="preserve"> This target was based on an assessment that the prison population had been allowed to drift upwards to a politically unacceptable level and that decisive action was required to halt, and then reverse, this momentum.</w:t>
      </w:r>
      <w:r w:rsidR="00C27425">
        <w:rPr>
          <w:sz w:val="25"/>
          <w:szCs w:val="25"/>
        </w:rPr>
        <w:t xml:space="preserve"> </w:t>
      </w:r>
    </w:p>
    <w:p w14:paraId="51558DDE" w14:textId="77777777" w:rsidR="00C27425" w:rsidRDefault="00C27425" w:rsidP="00C27425">
      <w:pPr>
        <w:spacing w:after="0" w:line="360" w:lineRule="auto"/>
        <w:ind w:left="-5" w:right="-9"/>
        <w:rPr>
          <w:sz w:val="25"/>
          <w:szCs w:val="25"/>
        </w:rPr>
      </w:pPr>
    </w:p>
    <w:p w14:paraId="7ECD9C26" w14:textId="5A643517" w:rsidR="00550818" w:rsidRPr="00F35F28" w:rsidRDefault="004E1B9F" w:rsidP="00C27425">
      <w:pPr>
        <w:spacing w:after="0" w:line="360" w:lineRule="auto"/>
        <w:ind w:left="-5" w:right="-9"/>
        <w:rPr>
          <w:sz w:val="25"/>
          <w:szCs w:val="25"/>
        </w:rPr>
      </w:pPr>
      <w:r w:rsidRPr="00F35F28">
        <w:rPr>
          <w:sz w:val="25"/>
          <w:szCs w:val="25"/>
        </w:rPr>
        <w:t>T</w:t>
      </w:r>
      <w:r w:rsidR="00550818" w:rsidRPr="00F35F28">
        <w:rPr>
          <w:sz w:val="25"/>
          <w:szCs w:val="25"/>
        </w:rPr>
        <w:t xml:space="preserve">his target has been missed and rather than being one third lower, the prison population is </w:t>
      </w:r>
      <w:r w:rsidR="000B3739" w:rsidRPr="00F35F28">
        <w:rPr>
          <w:sz w:val="25"/>
          <w:szCs w:val="25"/>
        </w:rPr>
        <w:t xml:space="preserve">now </w:t>
      </w:r>
      <w:r w:rsidR="00550818" w:rsidRPr="00F35F28">
        <w:rPr>
          <w:sz w:val="25"/>
          <w:szCs w:val="25"/>
        </w:rPr>
        <w:t xml:space="preserve">higher than </w:t>
      </w:r>
      <w:r w:rsidR="00AE0D60" w:rsidRPr="00F35F28">
        <w:rPr>
          <w:sz w:val="25"/>
          <w:szCs w:val="25"/>
        </w:rPr>
        <w:t xml:space="preserve">it was </w:t>
      </w:r>
      <w:r w:rsidR="00550818" w:rsidRPr="00F35F28">
        <w:rPr>
          <w:sz w:val="25"/>
          <w:szCs w:val="25"/>
        </w:rPr>
        <w:t>10 years ago.</w:t>
      </w:r>
      <w:r w:rsidR="00550818" w:rsidRPr="00F35F28">
        <w:rPr>
          <w:rStyle w:val="FootnoteReference"/>
          <w:sz w:val="25"/>
          <w:szCs w:val="25"/>
        </w:rPr>
        <w:footnoteReference w:id="5"/>
      </w:r>
    </w:p>
    <w:p w14:paraId="213D6174" w14:textId="77777777" w:rsidR="00550818" w:rsidRPr="00F35F28" w:rsidRDefault="00550818" w:rsidP="001D5E21">
      <w:pPr>
        <w:spacing w:after="0" w:line="360" w:lineRule="auto"/>
        <w:ind w:left="-5" w:right="-9"/>
        <w:rPr>
          <w:sz w:val="25"/>
          <w:szCs w:val="25"/>
        </w:rPr>
      </w:pPr>
    </w:p>
    <w:p w14:paraId="1D8C5382" w14:textId="674DBD2A" w:rsidR="00AE0D60" w:rsidRPr="00F35F28" w:rsidRDefault="00E73E65" w:rsidP="001D5E21">
      <w:pPr>
        <w:spacing w:after="0" w:line="360" w:lineRule="auto"/>
        <w:ind w:left="-5" w:right="-9"/>
        <w:rPr>
          <w:sz w:val="25"/>
          <w:szCs w:val="25"/>
        </w:rPr>
      </w:pPr>
      <w:r w:rsidRPr="00F35F28">
        <w:rPr>
          <w:sz w:val="25"/>
          <w:szCs w:val="25"/>
        </w:rPr>
        <w:t xml:space="preserve">The </w:t>
      </w:r>
      <w:r w:rsidRPr="00F35F28">
        <w:rPr>
          <w:sz w:val="25"/>
          <w:szCs w:val="25"/>
          <w:u w:val="single"/>
        </w:rPr>
        <w:t>second recommendation</w:t>
      </w:r>
      <w:r w:rsidRPr="00F35F28">
        <w:rPr>
          <w:sz w:val="25"/>
          <w:szCs w:val="25"/>
        </w:rPr>
        <w:t xml:space="preserve"> </w:t>
      </w:r>
      <w:r w:rsidR="00AE0D60" w:rsidRPr="00F35F28">
        <w:rPr>
          <w:sz w:val="25"/>
          <w:szCs w:val="25"/>
        </w:rPr>
        <w:t>wa</w:t>
      </w:r>
      <w:r w:rsidRPr="00F35F28">
        <w:rPr>
          <w:sz w:val="25"/>
          <w:szCs w:val="25"/>
        </w:rPr>
        <w:t xml:space="preserve">s that community service should be substituted for prison terms of less than six months imposed for non-violent offences. </w:t>
      </w:r>
    </w:p>
    <w:p w14:paraId="79230966" w14:textId="77777777" w:rsidR="00AE0D60" w:rsidRPr="00F35F28" w:rsidRDefault="00AE0D60" w:rsidP="001D5E21">
      <w:pPr>
        <w:spacing w:after="0" w:line="360" w:lineRule="auto"/>
        <w:ind w:left="-5" w:right="-9"/>
        <w:rPr>
          <w:sz w:val="25"/>
          <w:szCs w:val="25"/>
        </w:rPr>
      </w:pPr>
    </w:p>
    <w:p w14:paraId="54170F5E" w14:textId="32D4BE74" w:rsidR="001D79BD" w:rsidRPr="00F35F28" w:rsidRDefault="004E1B9F" w:rsidP="000B3739">
      <w:pPr>
        <w:spacing w:after="0" w:line="360" w:lineRule="auto"/>
        <w:ind w:left="-5" w:right="-9"/>
        <w:rPr>
          <w:sz w:val="25"/>
          <w:szCs w:val="25"/>
        </w:rPr>
      </w:pPr>
      <w:r w:rsidRPr="00F35F28">
        <w:rPr>
          <w:rFonts w:cs="Arial"/>
          <w:sz w:val="25"/>
          <w:szCs w:val="25"/>
        </w:rPr>
        <w:t>In 2021, one in four committals under sentence w</w:t>
      </w:r>
      <w:r w:rsidR="00C27425">
        <w:rPr>
          <w:rFonts w:cs="Arial"/>
          <w:sz w:val="25"/>
          <w:szCs w:val="25"/>
        </w:rPr>
        <w:t>as</w:t>
      </w:r>
      <w:r w:rsidRPr="00F35F28">
        <w:rPr>
          <w:rFonts w:cs="Arial"/>
          <w:sz w:val="25"/>
          <w:szCs w:val="25"/>
        </w:rPr>
        <w:t xml:space="preserve"> for less than three months, more than half were for less than six months, and over three quarters were for less than one year.</w:t>
      </w:r>
      <w:r w:rsidRPr="00F35F28">
        <w:rPr>
          <w:rStyle w:val="FootnoteReference"/>
          <w:rFonts w:cs="Arial"/>
          <w:sz w:val="25"/>
          <w:szCs w:val="25"/>
        </w:rPr>
        <w:footnoteReference w:id="6"/>
      </w:r>
      <w:r w:rsidRPr="00F35F28">
        <w:rPr>
          <w:rFonts w:cs="Arial"/>
          <w:sz w:val="25"/>
          <w:szCs w:val="25"/>
        </w:rPr>
        <w:t xml:space="preserve"> This is a </w:t>
      </w:r>
      <w:r w:rsidRPr="00F35F28">
        <w:rPr>
          <w:sz w:val="25"/>
          <w:szCs w:val="25"/>
        </w:rPr>
        <w:t>deeply engrained part of Ireland’s sentencing culture</w:t>
      </w:r>
      <w:r w:rsidR="000B3739" w:rsidRPr="00F35F28">
        <w:rPr>
          <w:sz w:val="25"/>
          <w:szCs w:val="25"/>
        </w:rPr>
        <w:t xml:space="preserve"> and persists </w:t>
      </w:r>
      <w:r w:rsidRPr="00F35F28">
        <w:rPr>
          <w:rFonts w:cs="Arial"/>
          <w:sz w:val="25"/>
          <w:szCs w:val="25"/>
        </w:rPr>
        <w:t xml:space="preserve">despite a wide acknowledgment that brief bursts of custody are too short to allow meaningful intervention in terms of addressing substance misuse, educational disadvantage, and cognitive or emotional difficulties. They cause significant disruption as regards employment, access to housing, and childcare. They contribute to prison overcrowding. </w:t>
      </w:r>
      <w:r w:rsidR="00F94E27" w:rsidRPr="00F35F28">
        <w:rPr>
          <w:rFonts w:cs="Arial"/>
          <w:sz w:val="25"/>
          <w:szCs w:val="25"/>
        </w:rPr>
        <w:t xml:space="preserve">They </w:t>
      </w:r>
      <w:r w:rsidR="00F94E27" w:rsidRPr="00F35F28">
        <w:rPr>
          <w:sz w:val="25"/>
          <w:szCs w:val="25"/>
        </w:rPr>
        <w:t>do not allow sufficient time for sentence planning.</w:t>
      </w:r>
      <w:r w:rsidR="001D79BD" w:rsidRPr="00F35F28">
        <w:rPr>
          <w:rStyle w:val="FootnoteReference"/>
          <w:sz w:val="25"/>
          <w:szCs w:val="25"/>
        </w:rPr>
        <w:footnoteReference w:id="7"/>
      </w:r>
      <w:r w:rsidR="00F94E27" w:rsidRPr="00F35F28">
        <w:rPr>
          <w:sz w:val="25"/>
          <w:szCs w:val="25"/>
        </w:rPr>
        <w:t xml:space="preserve"> </w:t>
      </w:r>
    </w:p>
    <w:p w14:paraId="5F4C357E" w14:textId="77777777" w:rsidR="00FD7682" w:rsidRDefault="00FD7682" w:rsidP="00C27425">
      <w:pPr>
        <w:spacing w:after="0" w:line="360" w:lineRule="auto"/>
        <w:rPr>
          <w:rFonts w:cs="Arial"/>
          <w:sz w:val="25"/>
          <w:szCs w:val="25"/>
        </w:rPr>
      </w:pPr>
    </w:p>
    <w:p w14:paraId="33666C82" w14:textId="6925842A" w:rsidR="00F94E27" w:rsidRPr="00F35F28" w:rsidRDefault="00F94E27" w:rsidP="00C27425">
      <w:pPr>
        <w:spacing w:after="0" w:line="360" w:lineRule="auto"/>
        <w:rPr>
          <w:rFonts w:cs="Arial"/>
          <w:sz w:val="25"/>
          <w:szCs w:val="25"/>
        </w:rPr>
      </w:pPr>
      <w:r w:rsidRPr="00F35F28">
        <w:rPr>
          <w:rFonts w:cs="Arial"/>
          <w:sz w:val="25"/>
          <w:szCs w:val="25"/>
        </w:rPr>
        <w:lastRenderedPageBreak/>
        <w:t xml:space="preserve">A review </w:t>
      </w:r>
      <w:r w:rsidR="000B3739" w:rsidRPr="00F35F28">
        <w:rPr>
          <w:rFonts w:cs="Arial"/>
          <w:sz w:val="25"/>
          <w:szCs w:val="25"/>
        </w:rPr>
        <w:t xml:space="preserve">that I carried out </w:t>
      </w:r>
      <w:r w:rsidRPr="00F35F28">
        <w:rPr>
          <w:rFonts w:cs="Arial"/>
          <w:sz w:val="25"/>
          <w:szCs w:val="25"/>
        </w:rPr>
        <w:t xml:space="preserve">for the Department of Justice </w:t>
      </w:r>
      <w:r w:rsidR="00C27425">
        <w:rPr>
          <w:rFonts w:cs="Arial"/>
          <w:sz w:val="25"/>
          <w:szCs w:val="25"/>
        </w:rPr>
        <w:t xml:space="preserve">found that </w:t>
      </w:r>
      <w:r w:rsidR="00C27425" w:rsidRPr="00C27425">
        <w:rPr>
          <w:rFonts w:cs="Arial"/>
          <w:sz w:val="25"/>
          <w:szCs w:val="25"/>
        </w:rPr>
        <w:t xml:space="preserve">short terms of imprisonment </w:t>
      </w:r>
      <w:proofErr w:type="gramStart"/>
      <w:r w:rsidR="00C27425" w:rsidRPr="00C27425">
        <w:rPr>
          <w:rFonts w:cs="Arial"/>
          <w:sz w:val="25"/>
          <w:szCs w:val="25"/>
        </w:rPr>
        <w:t>are</w:t>
      </w:r>
      <w:proofErr w:type="gramEnd"/>
      <w:r w:rsidR="00C27425" w:rsidRPr="00C27425">
        <w:rPr>
          <w:rFonts w:cs="Arial"/>
          <w:sz w:val="25"/>
          <w:szCs w:val="25"/>
        </w:rPr>
        <w:t xml:space="preserve"> less effective in terms</w:t>
      </w:r>
      <w:r w:rsidR="00C27425">
        <w:rPr>
          <w:rFonts w:cs="Arial"/>
          <w:sz w:val="25"/>
          <w:szCs w:val="25"/>
        </w:rPr>
        <w:t xml:space="preserve"> </w:t>
      </w:r>
      <w:r w:rsidR="00C27425" w:rsidRPr="00C27425">
        <w:rPr>
          <w:rFonts w:cs="Arial"/>
          <w:sz w:val="25"/>
          <w:szCs w:val="25"/>
        </w:rPr>
        <w:t>of reducing recidivism than community service</w:t>
      </w:r>
      <w:r w:rsidR="00C27425">
        <w:rPr>
          <w:rFonts w:cs="Arial"/>
          <w:sz w:val="25"/>
          <w:szCs w:val="25"/>
        </w:rPr>
        <w:t xml:space="preserve">. The review </w:t>
      </w:r>
      <w:r w:rsidRPr="00F35F28">
        <w:rPr>
          <w:rFonts w:cs="Arial"/>
          <w:sz w:val="25"/>
          <w:szCs w:val="25"/>
        </w:rPr>
        <w:t>concluded:</w:t>
      </w:r>
    </w:p>
    <w:p w14:paraId="50017B10" w14:textId="77777777" w:rsidR="00FD7682" w:rsidRDefault="00FD7682" w:rsidP="00F94E27">
      <w:pPr>
        <w:spacing w:after="0" w:line="360" w:lineRule="auto"/>
        <w:ind w:left="720"/>
        <w:rPr>
          <w:rFonts w:cs="Arial"/>
          <w:sz w:val="25"/>
          <w:szCs w:val="25"/>
        </w:rPr>
      </w:pPr>
    </w:p>
    <w:p w14:paraId="4FA16A33" w14:textId="09AD14BE" w:rsidR="00F94E27" w:rsidRPr="00F35F28" w:rsidRDefault="00F94E27" w:rsidP="00F94E27">
      <w:pPr>
        <w:spacing w:after="0" w:line="360" w:lineRule="auto"/>
        <w:ind w:left="720"/>
        <w:rPr>
          <w:rFonts w:cs="Arial"/>
          <w:sz w:val="25"/>
          <w:szCs w:val="25"/>
          <w:lang w:val="en-US"/>
        </w:rPr>
      </w:pPr>
      <w:r w:rsidRPr="00F35F28">
        <w:rPr>
          <w:rFonts w:cs="Arial"/>
          <w:sz w:val="25"/>
          <w:szCs w:val="25"/>
        </w:rPr>
        <w:t>“If prison is criminogenic</w:t>
      </w:r>
      <w:r w:rsidR="00F002E6">
        <w:rPr>
          <w:rFonts w:cs="Arial"/>
          <w:sz w:val="25"/>
          <w:szCs w:val="25"/>
        </w:rPr>
        <w:t xml:space="preserve">, </w:t>
      </w:r>
      <w:r w:rsidRPr="00F35F28">
        <w:rPr>
          <w:rFonts w:cs="Arial"/>
          <w:sz w:val="25"/>
          <w:szCs w:val="25"/>
        </w:rPr>
        <w:t>as the evidence suggests, the arguments in favour of using it less are persuasive. While necessary as a last resort, the desirability of a more parsimonious approach is indicated.”</w:t>
      </w:r>
      <w:r w:rsidRPr="00F35F28">
        <w:rPr>
          <w:rStyle w:val="FootnoteReference"/>
          <w:rFonts w:cs="Arial"/>
          <w:sz w:val="25"/>
          <w:szCs w:val="25"/>
        </w:rPr>
        <w:footnoteReference w:id="8"/>
      </w:r>
    </w:p>
    <w:p w14:paraId="283A4ED5" w14:textId="77777777" w:rsidR="0045105A" w:rsidRDefault="0045105A" w:rsidP="00F94E27">
      <w:pPr>
        <w:spacing w:after="0" w:line="360" w:lineRule="auto"/>
        <w:ind w:left="-5" w:right="-9"/>
        <w:rPr>
          <w:rFonts w:cs="Arial"/>
          <w:sz w:val="25"/>
          <w:szCs w:val="25"/>
        </w:rPr>
      </w:pPr>
    </w:p>
    <w:p w14:paraId="118EEE00" w14:textId="75C1D5F7" w:rsidR="00F94E27" w:rsidRPr="00F35F28" w:rsidRDefault="000B3739" w:rsidP="00F94E27">
      <w:pPr>
        <w:spacing w:after="0" w:line="360" w:lineRule="auto"/>
        <w:ind w:left="-5" w:right="-9"/>
        <w:rPr>
          <w:sz w:val="25"/>
          <w:szCs w:val="25"/>
        </w:rPr>
      </w:pPr>
      <w:r w:rsidRPr="00F35F28">
        <w:rPr>
          <w:rFonts w:cs="Arial"/>
          <w:sz w:val="25"/>
          <w:szCs w:val="25"/>
        </w:rPr>
        <w:t>M</w:t>
      </w:r>
      <w:r w:rsidR="001D79BD" w:rsidRPr="00F35F28">
        <w:rPr>
          <w:rFonts w:cs="Arial"/>
          <w:sz w:val="25"/>
          <w:szCs w:val="25"/>
        </w:rPr>
        <w:t xml:space="preserve">inor offenders could be </w:t>
      </w:r>
      <w:r w:rsidRPr="00F35F28">
        <w:rPr>
          <w:rFonts w:cs="Arial"/>
          <w:sz w:val="25"/>
          <w:szCs w:val="25"/>
        </w:rPr>
        <w:t xml:space="preserve">diverted </w:t>
      </w:r>
      <w:r w:rsidR="001D79BD" w:rsidRPr="00F35F28">
        <w:rPr>
          <w:rFonts w:cs="Arial"/>
          <w:sz w:val="25"/>
          <w:szCs w:val="25"/>
        </w:rPr>
        <w:t>from custody, th</w:t>
      </w:r>
      <w:r w:rsidRPr="00F35F28">
        <w:rPr>
          <w:rFonts w:cs="Arial"/>
          <w:sz w:val="25"/>
          <w:szCs w:val="25"/>
        </w:rPr>
        <w:t>ereby</w:t>
      </w:r>
      <w:r w:rsidR="001D79BD" w:rsidRPr="00F35F28">
        <w:rPr>
          <w:rFonts w:cs="Arial"/>
          <w:sz w:val="25"/>
          <w:szCs w:val="25"/>
        </w:rPr>
        <w:t xml:space="preserve"> reducing pressure on the prisons in terms of space and resources. </w:t>
      </w:r>
      <w:r w:rsidR="00F94E27" w:rsidRPr="00F35F28">
        <w:rPr>
          <w:sz w:val="25"/>
          <w:szCs w:val="25"/>
        </w:rPr>
        <w:t xml:space="preserve">It would make sense to punish </w:t>
      </w:r>
      <w:r w:rsidR="001D79BD" w:rsidRPr="00F35F28">
        <w:rPr>
          <w:sz w:val="25"/>
          <w:szCs w:val="25"/>
        </w:rPr>
        <w:t xml:space="preserve">them </w:t>
      </w:r>
      <w:r w:rsidR="00F94E27" w:rsidRPr="00F35F28">
        <w:rPr>
          <w:sz w:val="25"/>
          <w:szCs w:val="25"/>
        </w:rPr>
        <w:t xml:space="preserve">in the community where they could make reparation for the harms they caused, continue to play a role in the lives of their families, and </w:t>
      </w:r>
      <w:proofErr w:type="gramStart"/>
      <w:r w:rsidR="00F94E27" w:rsidRPr="00F35F28">
        <w:rPr>
          <w:sz w:val="25"/>
          <w:szCs w:val="25"/>
        </w:rPr>
        <w:t>be connected with</w:t>
      </w:r>
      <w:proofErr w:type="gramEnd"/>
      <w:r w:rsidR="00F94E27" w:rsidRPr="00F35F28">
        <w:rPr>
          <w:sz w:val="25"/>
          <w:szCs w:val="25"/>
        </w:rPr>
        <w:t xml:space="preserve"> an appropriate range of treatment options. </w:t>
      </w:r>
    </w:p>
    <w:p w14:paraId="4485A577" w14:textId="77777777" w:rsidR="00CD1EDB" w:rsidRPr="00F35F28" w:rsidRDefault="00CD1EDB" w:rsidP="00F94E27">
      <w:pPr>
        <w:spacing w:after="0" w:line="360" w:lineRule="auto"/>
        <w:ind w:left="-5" w:right="-9"/>
        <w:rPr>
          <w:sz w:val="25"/>
          <w:szCs w:val="25"/>
        </w:rPr>
      </w:pPr>
    </w:p>
    <w:p w14:paraId="2F6BB1D9" w14:textId="10A09AB2" w:rsidR="00F94E27" w:rsidRPr="00F35F28" w:rsidRDefault="004E1B9F" w:rsidP="001D79BD">
      <w:pPr>
        <w:spacing w:after="0" w:line="360" w:lineRule="auto"/>
        <w:ind w:right="-9"/>
        <w:rPr>
          <w:sz w:val="25"/>
          <w:szCs w:val="25"/>
        </w:rPr>
      </w:pPr>
      <w:r w:rsidRPr="00F35F28">
        <w:rPr>
          <w:sz w:val="25"/>
          <w:szCs w:val="25"/>
        </w:rPr>
        <w:t xml:space="preserve">We need to shift </w:t>
      </w:r>
      <w:r w:rsidR="000B3739" w:rsidRPr="00F35F28">
        <w:rPr>
          <w:sz w:val="25"/>
          <w:szCs w:val="25"/>
        </w:rPr>
        <w:t xml:space="preserve">our </w:t>
      </w:r>
      <w:r w:rsidRPr="00F35F28">
        <w:rPr>
          <w:sz w:val="25"/>
          <w:szCs w:val="25"/>
        </w:rPr>
        <w:t>language, to think about community sanctions as the default approach with imprisonment as the occasional ‘alternative’.</w:t>
      </w:r>
      <w:r w:rsidR="00F94E27" w:rsidRPr="00F35F28">
        <w:rPr>
          <w:rStyle w:val="FootnoteReference"/>
          <w:rFonts w:cs="Arial"/>
          <w:sz w:val="25"/>
          <w:szCs w:val="25"/>
        </w:rPr>
        <w:footnoteReference w:id="9"/>
      </w:r>
    </w:p>
    <w:p w14:paraId="144E2F08" w14:textId="77777777" w:rsidR="001D79BD" w:rsidRPr="00F35F28" w:rsidRDefault="001D79BD" w:rsidP="00F94E27">
      <w:pPr>
        <w:spacing w:after="0" w:line="360" w:lineRule="auto"/>
        <w:ind w:left="-5" w:right="-9"/>
        <w:rPr>
          <w:rFonts w:cs="Arial"/>
          <w:sz w:val="25"/>
          <w:szCs w:val="25"/>
        </w:rPr>
      </w:pPr>
    </w:p>
    <w:p w14:paraId="62AA603D" w14:textId="30A5F076" w:rsidR="008813A2" w:rsidRPr="00F35F28" w:rsidRDefault="00E73E65" w:rsidP="001D5E21">
      <w:pPr>
        <w:spacing w:after="0" w:line="360" w:lineRule="auto"/>
        <w:ind w:left="-5" w:right="-9"/>
        <w:rPr>
          <w:sz w:val="25"/>
          <w:szCs w:val="25"/>
        </w:rPr>
      </w:pPr>
      <w:r w:rsidRPr="00F35F28">
        <w:rPr>
          <w:sz w:val="25"/>
          <w:szCs w:val="25"/>
        </w:rPr>
        <w:t xml:space="preserve">The </w:t>
      </w:r>
      <w:r w:rsidRPr="00F35F28">
        <w:rPr>
          <w:sz w:val="25"/>
          <w:szCs w:val="25"/>
          <w:u w:val="single"/>
        </w:rPr>
        <w:t>third recommendation</w:t>
      </w:r>
      <w:r w:rsidRPr="00F35F28">
        <w:rPr>
          <w:sz w:val="25"/>
          <w:szCs w:val="25"/>
        </w:rPr>
        <w:t xml:space="preserve"> </w:t>
      </w:r>
      <w:r w:rsidR="00AE0D60" w:rsidRPr="00F35F28">
        <w:rPr>
          <w:sz w:val="25"/>
          <w:szCs w:val="25"/>
        </w:rPr>
        <w:t>wa</w:t>
      </w:r>
      <w:r w:rsidRPr="00F35F28">
        <w:rPr>
          <w:sz w:val="25"/>
          <w:szCs w:val="25"/>
        </w:rPr>
        <w:t>s that the standard rate of remission should be increased from one quarter to one third, with a possible further increase to one half for certain categories of prisoner, in particular first</w:t>
      </w:r>
      <w:r w:rsidR="00AE0D60" w:rsidRPr="00F35F28">
        <w:rPr>
          <w:sz w:val="25"/>
          <w:szCs w:val="25"/>
        </w:rPr>
        <w:t xml:space="preserve"> </w:t>
      </w:r>
      <w:r w:rsidRPr="00F35F28">
        <w:rPr>
          <w:sz w:val="25"/>
          <w:szCs w:val="25"/>
        </w:rPr>
        <w:t>timers. The first limb of this recommendation could be given swift effect as Prison Rule</w:t>
      </w:r>
      <w:r w:rsidR="008813A2" w:rsidRPr="00F35F28">
        <w:rPr>
          <w:sz w:val="25"/>
          <w:szCs w:val="25"/>
        </w:rPr>
        <w:t xml:space="preserve"> 59(2)</w:t>
      </w:r>
      <w:r w:rsidRPr="00F35F28">
        <w:rPr>
          <w:sz w:val="25"/>
          <w:szCs w:val="25"/>
        </w:rPr>
        <w:t xml:space="preserve"> permit</w:t>
      </w:r>
      <w:r w:rsidR="008813A2" w:rsidRPr="00F35F28">
        <w:rPr>
          <w:sz w:val="25"/>
          <w:szCs w:val="25"/>
        </w:rPr>
        <w:t>s</w:t>
      </w:r>
      <w:r w:rsidRPr="00F35F28">
        <w:rPr>
          <w:sz w:val="25"/>
          <w:szCs w:val="25"/>
        </w:rPr>
        <w:t xml:space="preserve"> an enhanced rate of remission</w:t>
      </w:r>
      <w:r w:rsidR="008813A2" w:rsidRPr="00F35F28">
        <w:rPr>
          <w:sz w:val="25"/>
          <w:szCs w:val="25"/>
        </w:rPr>
        <w:t xml:space="preserve"> “where a prisoner has shown further good conduct by engaging in authorised structured activity and the Minister is satisfied that, as a result, the prisoner is less likely to re-offend and will be better able to reintegrate into the community.”</w:t>
      </w:r>
    </w:p>
    <w:p w14:paraId="1D4EB8FD" w14:textId="357919E9" w:rsidR="0045105A" w:rsidRDefault="0045105A" w:rsidP="00F002E6">
      <w:pPr>
        <w:spacing w:after="0" w:line="360" w:lineRule="auto"/>
        <w:ind w:left="0" w:right="-9" w:firstLine="0"/>
        <w:rPr>
          <w:sz w:val="25"/>
          <w:szCs w:val="25"/>
        </w:rPr>
      </w:pPr>
    </w:p>
    <w:p w14:paraId="7F5FF5ED" w14:textId="02512EE5" w:rsidR="00E73E65" w:rsidRPr="00F35F28" w:rsidRDefault="00E73E65" w:rsidP="001D5E21">
      <w:pPr>
        <w:spacing w:after="0" w:line="360" w:lineRule="auto"/>
        <w:ind w:left="-5" w:right="-9"/>
        <w:rPr>
          <w:sz w:val="25"/>
          <w:szCs w:val="25"/>
        </w:rPr>
      </w:pPr>
      <w:r w:rsidRPr="00F35F28">
        <w:rPr>
          <w:sz w:val="25"/>
          <w:szCs w:val="25"/>
        </w:rPr>
        <w:lastRenderedPageBreak/>
        <w:t xml:space="preserve">This </w:t>
      </w:r>
      <w:r w:rsidR="00377F6E">
        <w:rPr>
          <w:sz w:val="25"/>
          <w:szCs w:val="25"/>
        </w:rPr>
        <w:t xml:space="preserve">rule </w:t>
      </w:r>
      <w:r w:rsidRPr="00F35F28">
        <w:rPr>
          <w:sz w:val="25"/>
          <w:szCs w:val="25"/>
        </w:rPr>
        <w:t xml:space="preserve">has only been </w:t>
      </w:r>
      <w:r w:rsidR="00377F6E">
        <w:rPr>
          <w:sz w:val="25"/>
          <w:szCs w:val="25"/>
        </w:rPr>
        <w:t xml:space="preserve">used </w:t>
      </w:r>
      <w:r w:rsidRPr="00F35F28">
        <w:rPr>
          <w:sz w:val="25"/>
          <w:szCs w:val="25"/>
        </w:rPr>
        <w:t>in a handful of cases</w:t>
      </w:r>
      <w:r w:rsidR="0092249C" w:rsidRPr="00F35F28">
        <w:rPr>
          <w:sz w:val="25"/>
          <w:szCs w:val="25"/>
        </w:rPr>
        <w:t>.</w:t>
      </w:r>
      <w:r w:rsidRPr="00F35F28">
        <w:rPr>
          <w:sz w:val="25"/>
          <w:szCs w:val="25"/>
        </w:rPr>
        <w:t xml:space="preserve"> </w:t>
      </w:r>
      <w:r w:rsidR="008813A2" w:rsidRPr="00F35F28">
        <w:rPr>
          <w:sz w:val="25"/>
          <w:szCs w:val="25"/>
        </w:rPr>
        <w:t xml:space="preserve">Employing it widely would serve several purposes. </w:t>
      </w:r>
      <w:r w:rsidR="000B3739" w:rsidRPr="00F35F28">
        <w:rPr>
          <w:sz w:val="25"/>
          <w:szCs w:val="25"/>
        </w:rPr>
        <w:t>I</w:t>
      </w:r>
      <w:r w:rsidR="008813A2" w:rsidRPr="00F35F28">
        <w:rPr>
          <w:sz w:val="25"/>
          <w:szCs w:val="25"/>
        </w:rPr>
        <w:t xml:space="preserve">t would incentivise prisoners to take part in programmes that reduce the threat they pose, reduce prison overcrowding, usher in a more structured approach to release, and save money.  </w:t>
      </w:r>
      <w:r w:rsidRPr="00F35F28">
        <w:rPr>
          <w:sz w:val="25"/>
          <w:szCs w:val="25"/>
        </w:rPr>
        <w:t xml:space="preserve">Special allowance for first-time </w:t>
      </w:r>
      <w:r w:rsidR="00A42A79">
        <w:rPr>
          <w:sz w:val="25"/>
          <w:szCs w:val="25"/>
        </w:rPr>
        <w:t xml:space="preserve">prisoners </w:t>
      </w:r>
      <w:r w:rsidRPr="00F35F28">
        <w:rPr>
          <w:sz w:val="25"/>
          <w:szCs w:val="25"/>
        </w:rPr>
        <w:t xml:space="preserve">also merits consideration as the recidivism rate </w:t>
      </w:r>
      <w:r w:rsidR="00D16116">
        <w:rPr>
          <w:sz w:val="25"/>
          <w:szCs w:val="25"/>
        </w:rPr>
        <w:t>tends to be</w:t>
      </w:r>
      <w:r w:rsidRPr="00F35F28">
        <w:rPr>
          <w:sz w:val="25"/>
          <w:szCs w:val="25"/>
        </w:rPr>
        <w:t xml:space="preserve"> lower for this group and their prospects for successful re-integration are </w:t>
      </w:r>
      <w:r w:rsidR="00C438F4">
        <w:rPr>
          <w:sz w:val="25"/>
          <w:szCs w:val="25"/>
        </w:rPr>
        <w:t>better</w:t>
      </w:r>
      <w:r w:rsidRPr="00F35F28">
        <w:rPr>
          <w:sz w:val="25"/>
          <w:szCs w:val="25"/>
        </w:rPr>
        <w:t>.</w:t>
      </w:r>
    </w:p>
    <w:p w14:paraId="6E5F39C7" w14:textId="77777777" w:rsidR="0045105A" w:rsidRDefault="0045105A" w:rsidP="001D5E21">
      <w:pPr>
        <w:spacing w:after="0" w:line="360" w:lineRule="auto"/>
        <w:ind w:left="-5" w:right="-9"/>
        <w:rPr>
          <w:sz w:val="25"/>
          <w:szCs w:val="25"/>
        </w:rPr>
      </w:pPr>
    </w:p>
    <w:p w14:paraId="3A47D49D" w14:textId="5FEEFCA5" w:rsidR="00E73E65" w:rsidRPr="00F35F28" w:rsidRDefault="00E73E65" w:rsidP="001D5E21">
      <w:pPr>
        <w:spacing w:after="0" w:line="360" w:lineRule="auto"/>
        <w:ind w:left="-5" w:right="-9"/>
        <w:rPr>
          <w:sz w:val="25"/>
          <w:szCs w:val="25"/>
        </w:rPr>
      </w:pPr>
      <w:r w:rsidRPr="00F35F28">
        <w:rPr>
          <w:sz w:val="25"/>
          <w:szCs w:val="25"/>
        </w:rPr>
        <w:t xml:space="preserve">The </w:t>
      </w:r>
      <w:r w:rsidRPr="00F35F28">
        <w:rPr>
          <w:sz w:val="25"/>
          <w:szCs w:val="25"/>
          <w:u w:val="single"/>
        </w:rPr>
        <w:t>fourth recommendation</w:t>
      </w:r>
      <w:r w:rsidRPr="00F35F28">
        <w:rPr>
          <w:sz w:val="25"/>
          <w:szCs w:val="25"/>
        </w:rPr>
        <w:t xml:space="preserve"> </w:t>
      </w:r>
      <w:r w:rsidR="00AE0D60" w:rsidRPr="00F35F28">
        <w:rPr>
          <w:sz w:val="25"/>
          <w:szCs w:val="25"/>
        </w:rPr>
        <w:t>wa</w:t>
      </w:r>
      <w:r w:rsidRPr="00F35F28">
        <w:rPr>
          <w:sz w:val="25"/>
          <w:szCs w:val="25"/>
        </w:rPr>
        <w:t>s that a modern legislative framework should be provided for all forms of early release, including parole. This has happened</w:t>
      </w:r>
      <w:r w:rsidR="008813A2" w:rsidRPr="00F35F28">
        <w:rPr>
          <w:sz w:val="25"/>
          <w:szCs w:val="25"/>
        </w:rPr>
        <w:t xml:space="preserve">, </w:t>
      </w:r>
      <w:r w:rsidR="001875D1">
        <w:rPr>
          <w:sz w:val="25"/>
          <w:szCs w:val="25"/>
        </w:rPr>
        <w:t>in part at least</w:t>
      </w:r>
      <w:r w:rsidR="00940322" w:rsidRPr="00F35F28">
        <w:rPr>
          <w:sz w:val="25"/>
          <w:szCs w:val="25"/>
        </w:rPr>
        <w:t>,</w:t>
      </w:r>
      <w:r w:rsidR="008813A2" w:rsidRPr="00F35F28">
        <w:rPr>
          <w:sz w:val="25"/>
          <w:szCs w:val="25"/>
        </w:rPr>
        <w:t xml:space="preserve"> </w:t>
      </w:r>
      <w:r w:rsidR="000B3739" w:rsidRPr="00F35F28">
        <w:rPr>
          <w:sz w:val="25"/>
          <w:szCs w:val="25"/>
        </w:rPr>
        <w:t>and</w:t>
      </w:r>
      <w:r w:rsidR="008813A2" w:rsidRPr="00F35F28">
        <w:rPr>
          <w:sz w:val="25"/>
          <w:szCs w:val="25"/>
        </w:rPr>
        <w:t xml:space="preserve"> a statutory parole board </w:t>
      </w:r>
      <w:r w:rsidR="000B3739" w:rsidRPr="00F35F28">
        <w:rPr>
          <w:sz w:val="25"/>
          <w:szCs w:val="25"/>
        </w:rPr>
        <w:t xml:space="preserve">is </w:t>
      </w:r>
      <w:r w:rsidR="008813A2" w:rsidRPr="00F35F28">
        <w:rPr>
          <w:sz w:val="25"/>
          <w:szCs w:val="25"/>
        </w:rPr>
        <w:t>now in place to consider life sentences</w:t>
      </w:r>
      <w:r w:rsidRPr="00F35F28">
        <w:rPr>
          <w:sz w:val="25"/>
          <w:szCs w:val="25"/>
        </w:rPr>
        <w:t xml:space="preserve">. </w:t>
      </w:r>
    </w:p>
    <w:p w14:paraId="4714C657" w14:textId="77777777" w:rsidR="001D79BD" w:rsidRPr="00F35F28" w:rsidRDefault="001D79BD" w:rsidP="001D5E21">
      <w:pPr>
        <w:spacing w:after="0" w:line="360" w:lineRule="auto"/>
        <w:ind w:left="-5" w:right="-9"/>
        <w:rPr>
          <w:sz w:val="25"/>
          <w:szCs w:val="25"/>
        </w:rPr>
      </w:pPr>
    </w:p>
    <w:p w14:paraId="008406D4" w14:textId="49633CCE" w:rsidR="00E73E65" w:rsidRPr="00F35F28" w:rsidRDefault="00E73E65" w:rsidP="001D5E21">
      <w:pPr>
        <w:spacing w:after="0" w:line="360" w:lineRule="auto"/>
        <w:ind w:left="-5" w:right="-9"/>
        <w:rPr>
          <w:sz w:val="25"/>
          <w:szCs w:val="25"/>
        </w:rPr>
      </w:pPr>
      <w:r w:rsidRPr="00F35F28">
        <w:rPr>
          <w:sz w:val="25"/>
          <w:szCs w:val="25"/>
        </w:rPr>
        <w:t xml:space="preserve">The </w:t>
      </w:r>
      <w:r w:rsidRPr="00F35F28">
        <w:rPr>
          <w:sz w:val="25"/>
          <w:szCs w:val="25"/>
          <w:u w:val="single"/>
        </w:rPr>
        <w:t>fifth recommendation</w:t>
      </w:r>
      <w:r w:rsidRPr="00F35F28">
        <w:rPr>
          <w:sz w:val="25"/>
          <w:szCs w:val="25"/>
        </w:rPr>
        <w:t xml:space="preserve"> </w:t>
      </w:r>
      <w:r w:rsidR="00AE0D60" w:rsidRPr="00F35F28">
        <w:rPr>
          <w:sz w:val="25"/>
          <w:szCs w:val="25"/>
        </w:rPr>
        <w:t>wa</w:t>
      </w:r>
      <w:r w:rsidRPr="00F35F28">
        <w:rPr>
          <w:sz w:val="25"/>
          <w:szCs w:val="25"/>
        </w:rPr>
        <w:t xml:space="preserve">s that there should be a rebalancing of the system so that greater use is made of open prisons and all prisoners are held in sanitary and uncrowded conditions that are not an affront to human dignity and a threat to bodily integrity. </w:t>
      </w:r>
      <w:r w:rsidR="004A1E77">
        <w:rPr>
          <w:sz w:val="25"/>
          <w:szCs w:val="25"/>
        </w:rPr>
        <w:t>It hardly needs to be said that multiple occupancy of small cells for the greater part of each day is inconsistent with dignified treatment. Furthermore, m</w:t>
      </w:r>
      <w:r w:rsidRPr="00F35F28">
        <w:rPr>
          <w:sz w:val="25"/>
          <w:szCs w:val="25"/>
        </w:rPr>
        <w:t xml:space="preserve">any prisoners in Ireland are incarcerated at levels of security that are not warranted </w:t>
      </w:r>
      <w:proofErr w:type="gramStart"/>
      <w:r w:rsidRPr="00F35F28">
        <w:rPr>
          <w:sz w:val="25"/>
          <w:szCs w:val="25"/>
        </w:rPr>
        <w:t>on the basis of</w:t>
      </w:r>
      <w:proofErr w:type="gramEnd"/>
      <w:r w:rsidRPr="00F35F28">
        <w:rPr>
          <w:sz w:val="25"/>
          <w:szCs w:val="25"/>
        </w:rPr>
        <w:t xml:space="preserve"> the escape risk they pose. This has the unfortunate consequence that they are denied a phased restoration of liberty as part of their preparation for release.</w:t>
      </w:r>
      <w:r w:rsidR="00FB701F">
        <w:rPr>
          <w:sz w:val="25"/>
          <w:szCs w:val="25"/>
        </w:rPr>
        <w:t xml:space="preserve"> </w:t>
      </w:r>
    </w:p>
    <w:p w14:paraId="6AEF5251" w14:textId="77777777" w:rsidR="00E73E65" w:rsidRPr="00F35F28" w:rsidRDefault="00E73E65" w:rsidP="001D5E21">
      <w:pPr>
        <w:spacing w:after="0" w:line="360" w:lineRule="auto"/>
        <w:ind w:left="-5" w:right="-9"/>
        <w:rPr>
          <w:sz w:val="25"/>
          <w:szCs w:val="25"/>
        </w:rPr>
      </w:pPr>
    </w:p>
    <w:p w14:paraId="0EBB023E" w14:textId="70CC0E6A" w:rsidR="00151939" w:rsidRDefault="00FB701F" w:rsidP="001D5E21">
      <w:pPr>
        <w:spacing w:after="0" w:line="360" w:lineRule="auto"/>
        <w:ind w:left="-5" w:right="-9"/>
        <w:rPr>
          <w:sz w:val="25"/>
          <w:szCs w:val="25"/>
        </w:rPr>
      </w:pPr>
      <w:r>
        <w:rPr>
          <w:sz w:val="25"/>
          <w:szCs w:val="25"/>
        </w:rPr>
        <w:t>Also,</w:t>
      </w:r>
      <w:r w:rsidR="00AE0D60" w:rsidRPr="00F35F28">
        <w:rPr>
          <w:sz w:val="25"/>
          <w:szCs w:val="25"/>
        </w:rPr>
        <w:t xml:space="preserve"> our prisons are</w:t>
      </w:r>
      <w:r w:rsidR="00151939">
        <w:rPr>
          <w:sz w:val="25"/>
          <w:szCs w:val="25"/>
        </w:rPr>
        <w:t xml:space="preserve"> far</w:t>
      </w:r>
      <w:r w:rsidR="00AE0D60" w:rsidRPr="00F35F28">
        <w:rPr>
          <w:sz w:val="25"/>
          <w:szCs w:val="25"/>
        </w:rPr>
        <w:t xml:space="preserve"> too big</w:t>
      </w:r>
      <w:r w:rsidR="00F04958" w:rsidRPr="00F35F28">
        <w:rPr>
          <w:sz w:val="25"/>
          <w:szCs w:val="25"/>
        </w:rPr>
        <w:t>. W</w:t>
      </w:r>
      <w:r w:rsidR="00AE0D60" w:rsidRPr="00F35F28">
        <w:rPr>
          <w:sz w:val="25"/>
          <w:szCs w:val="25"/>
        </w:rPr>
        <w:t>e should be thinking about rescaling rather than expanding</w:t>
      </w:r>
      <w:r w:rsidR="00F04958" w:rsidRPr="00F35F28">
        <w:rPr>
          <w:sz w:val="25"/>
          <w:szCs w:val="25"/>
        </w:rPr>
        <w:t xml:space="preserve"> the estate</w:t>
      </w:r>
      <w:r w:rsidR="00AE0D60" w:rsidRPr="00F35F28">
        <w:rPr>
          <w:sz w:val="25"/>
          <w:szCs w:val="25"/>
        </w:rPr>
        <w:t>.</w:t>
      </w:r>
      <w:r w:rsidR="00E23DD9">
        <w:rPr>
          <w:sz w:val="25"/>
          <w:szCs w:val="25"/>
        </w:rPr>
        <w:t xml:space="preserve"> </w:t>
      </w:r>
      <w:r w:rsidR="00151939">
        <w:rPr>
          <w:sz w:val="25"/>
          <w:szCs w:val="25"/>
        </w:rPr>
        <w:t xml:space="preserve">In its original report the </w:t>
      </w:r>
      <w:r w:rsidR="00F002E6">
        <w:rPr>
          <w:sz w:val="25"/>
          <w:szCs w:val="25"/>
        </w:rPr>
        <w:t>S</w:t>
      </w:r>
      <w:r w:rsidR="00151939">
        <w:rPr>
          <w:sz w:val="25"/>
          <w:szCs w:val="25"/>
        </w:rPr>
        <w:t>ub-</w:t>
      </w:r>
      <w:r w:rsidR="00F002E6">
        <w:rPr>
          <w:sz w:val="25"/>
          <w:szCs w:val="25"/>
        </w:rPr>
        <w:t>C</w:t>
      </w:r>
      <w:r w:rsidR="00151939">
        <w:rPr>
          <w:sz w:val="25"/>
          <w:szCs w:val="25"/>
        </w:rPr>
        <w:t xml:space="preserve">ommittee took inspiration from the Scandinavian approach to criminal justice and visited Finland. </w:t>
      </w:r>
    </w:p>
    <w:p w14:paraId="0D13F9C0" w14:textId="77777777" w:rsidR="00F002E6" w:rsidRDefault="00F002E6" w:rsidP="001D5E21">
      <w:pPr>
        <w:spacing w:after="0" w:line="360" w:lineRule="auto"/>
        <w:ind w:left="-5" w:right="-9"/>
        <w:rPr>
          <w:sz w:val="25"/>
          <w:szCs w:val="25"/>
        </w:rPr>
      </w:pPr>
    </w:p>
    <w:p w14:paraId="203E3C9F" w14:textId="24C0A202" w:rsidR="00AE0D60" w:rsidRPr="00F35F28" w:rsidRDefault="00151939" w:rsidP="001D5E21">
      <w:pPr>
        <w:spacing w:after="0" w:line="360" w:lineRule="auto"/>
        <w:ind w:left="-5" w:right="-9"/>
        <w:rPr>
          <w:sz w:val="25"/>
          <w:szCs w:val="25"/>
        </w:rPr>
      </w:pPr>
      <w:r>
        <w:rPr>
          <w:sz w:val="25"/>
          <w:szCs w:val="25"/>
        </w:rPr>
        <w:t>Finland</w:t>
      </w:r>
      <w:r w:rsidR="00E23DD9">
        <w:rPr>
          <w:sz w:val="25"/>
          <w:szCs w:val="25"/>
        </w:rPr>
        <w:t xml:space="preserve"> has a slightly larger population than Ireland but fewer prisoners, around </w:t>
      </w:r>
      <w:r>
        <w:rPr>
          <w:sz w:val="25"/>
          <w:szCs w:val="25"/>
        </w:rPr>
        <w:t>2</w:t>
      </w:r>
      <w:r w:rsidR="00E23DD9">
        <w:rPr>
          <w:sz w:val="25"/>
          <w:szCs w:val="25"/>
        </w:rPr>
        <w:t>,</w:t>
      </w:r>
      <w:r>
        <w:rPr>
          <w:sz w:val="25"/>
          <w:szCs w:val="25"/>
        </w:rPr>
        <w:t>80</w:t>
      </w:r>
      <w:r w:rsidR="00E23DD9">
        <w:rPr>
          <w:sz w:val="25"/>
          <w:szCs w:val="25"/>
        </w:rPr>
        <w:t xml:space="preserve">0, and they are accommodated in </w:t>
      </w:r>
      <w:r>
        <w:rPr>
          <w:sz w:val="25"/>
          <w:szCs w:val="25"/>
        </w:rPr>
        <w:t>26</w:t>
      </w:r>
      <w:r w:rsidR="00E23DD9">
        <w:rPr>
          <w:sz w:val="25"/>
          <w:szCs w:val="25"/>
        </w:rPr>
        <w:t xml:space="preserve"> prisons (vs. 4,500 in 12 prisons in Ireland).</w:t>
      </w:r>
      <w:r w:rsidR="00E23DD9">
        <w:rPr>
          <w:rStyle w:val="FootnoteReference"/>
          <w:sz w:val="25"/>
          <w:szCs w:val="25"/>
        </w:rPr>
        <w:footnoteReference w:id="10"/>
      </w:r>
      <w:r w:rsidR="002B6FE8">
        <w:rPr>
          <w:sz w:val="25"/>
          <w:szCs w:val="25"/>
        </w:rPr>
        <w:t xml:space="preserve"> If we want our prisons to be safe, active, rehabilitative, hopeful places, then smaller is better.</w:t>
      </w:r>
    </w:p>
    <w:p w14:paraId="1F23512E" w14:textId="77777777" w:rsidR="00E73E65" w:rsidRPr="00F35F28" w:rsidRDefault="00E73E65" w:rsidP="001D5E21">
      <w:pPr>
        <w:spacing w:after="0" w:line="360" w:lineRule="auto"/>
        <w:ind w:left="-5" w:right="-9"/>
        <w:rPr>
          <w:sz w:val="25"/>
          <w:szCs w:val="25"/>
        </w:rPr>
      </w:pPr>
    </w:p>
    <w:p w14:paraId="472707D6" w14:textId="38218A1D" w:rsidR="00C2204D" w:rsidRPr="00F35F28" w:rsidRDefault="00C2204D" w:rsidP="001D5E21">
      <w:pPr>
        <w:spacing w:after="0" w:line="360" w:lineRule="auto"/>
        <w:ind w:left="-5" w:right="-9"/>
        <w:rPr>
          <w:sz w:val="25"/>
          <w:szCs w:val="25"/>
        </w:rPr>
      </w:pPr>
      <w:r w:rsidRPr="00F35F28">
        <w:rPr>
          <w:sz w:val="25"/>
          <w:szCs w:val="25"/>
        </w:rPr>
        <w:lastRenderedPageBreak/>
        <w:t xml:space="preserve">In an article welcoming the </w:t>
      </w:r>
      <w:r w:rsidR="00F002E6">
        <w:rPr>
          <w:sz w:val="25"/>
          <w:szCs w:val="25"/>
        </w:rPr>
        <w:t>S</w:t>
      </w:r>
      <w:r w:rsidRPr="00F35F28">
        <w:rPr>
          <w:sz w:val="25"/>
          <w:szCs w:val="25"/>
        </w:rPr>
        <w:t>ub-</w:t>
      </w:r>
      <w:r w:rsidR="00F002E6">
        <w:rPr>
          <w:sz w:val="25"/>
          <w:szCs w:val="25"/>
        </w:rPr>
        <w:t>C</w:t>
      </w:r>
      <w:r w:rsidRPr="00F35F28">
        <w:rPr>
          <w:sz w:val="25"/>
          <w:szCs w:val="25"/>
        </w:rPr>
        <w:t xml:space="preserve">ommittee’s report </w:t>
      </w:r>
      <w:r w:rsidR="000B3739" w:rsidRPr="00F35F28">
        <w:rPr>
          <w:sz w:val="25"/>
          <w:szCs w:val="25"/>
        </w:rPr>
        <w:t xml:space="preserve">ten years ago </w:t>
      </w:r>
      <w:r w:rsidRPr="00F35F28">
        <w:rPr>
          <w:sz w:val="25"/>
          <w:szCs w:val="25"/>
        </w:rPr>
        <w:t xml:space="preserve">I </w:t>
      </w:r>
      <w:r w:rsidR="00FB701F">
        <w:rPr>
          <w:sz w:val="25"/>
          <w:szCs w:val="25"/>
        </w:rPr>
        <w:t>noted</w:t>
      </w:r>
      <w:r w:rsidR="00940322" w:rsidRPr="00F35F28">
        <w:rPr>
          <w:sz w:val="25"/>
          <w:szCs w:val="25"/>
        </w:rPr>
        <w:t xml:space="preserve"> that</w:t>
      </w:r>
      <w:r w:rsidRPr="00F35F28">
        <w:rPr>
          <w:sz w:val="25"/>
          <w:szCs w:val="25"/>
        </w:rPr>
        <w:t>:</w:t>
      </w:r>
    </w:p>
    <w:p w14:paraId="7A724A43" w14:textId="77777777" w:rsidR="00E23DD9" w:rsidRPr="00F35F28" w:rsidRDefault="00E23DD9" w:rsidP="00FB701F">
      <w:pPr>
        <w:spacing w:after="0" w:line="360" w:lineRule="auto"/>
        <w:ind w:left="0" w:right="-9" w:firstLine="0"/>
        <w:rPr>
          <w:sz w:val="25"/>
          <w:szCs w:val="25"/>
        </w:rPr>
      </w:pPr>
    </w:p>
    <w:p w14:paraId="50D656C0" w14:textId="08F2B168" w:rsidR="00E73E65" w:rsidRPr="00F35F28" w:rsidRDefault="00E73E65" w:rsidP="00C2204D">
      <w:pPr>
        <w:spacing w:after="0" w:line="360" w:lineRule="auto"/>
        <w:ind w:left="710" w:right="-9"/>
        <w:rPr>
          <w:sz w:val="25"/>
          <w:szCs w:val="25"/>
        </w:rPr>
      </w:pPr>
      <w:r w:rsidRPr="00F35F28">
        <w:rPr>
          <w:sz w:val="25"/>
          <w:szCs w:val="25"/>
        </w:rPr>
        <w:t>“There have been many reports down the years advocating a fundamental reappraisal of penal policy along the lines set out by the Sub-Committee. It is fair to say that these have not had a sustained effect. What is different today is that the recommendations have attracted cross</w:t>
      </w:r>
      <w:r w:rsidR="00302856" w:rsidRPr="00F35F28">
        <w:rPr>
          <w:sz w:val="25"/>
          <w:szCs w:val="25"/>
        </w:rPr>
        <w:t>-</w:t>
      </w:r>
      <w:r w:rsidRPr="00F35F28">
        <w:rPr>
          <w:sz w:val="25"/>
          <w:szCs w:val="25"/>
        </w:rPr>
        <w:t>party support, they are precisely focused, and their desired impact is measurable. In addition, the financial and social costs of inaction have become too great to ignore. The challenge is to close the gap that exists between worthwhile proposals on paper and real progress on the ground.”</w:t>
      </w:r>
      <w:r w:rsidR="001D5E21" w:rsidRPr="00F35F28">
        <w:rPr>
          <w:rStyle w:val="FootnoteReference"/>
          <w:sz w:val="25"/>
          <w:szCs w:val="25"/>
        </w:rPr>
        <w:footnoteReference w:id="11"/>
      </w:r>
    </w:p>
    <w:p w14:paraId="542D21B1" w14:textId="77777777" w:rsidR="00E73E65" w:rsidRPr="00F35F28" w:rsidRDefault="00E73E65" w:rsidP="001D5E21">
      <w:pPr>
        <w:spacing w:after="0" w:line="360" w:lineRule="auto"/>
        <w:ind w:left="0" w:right="-9" w:firstLine="0"/>
        <w:rPr>
          <w:sz w:val="25"/>
          <w:szCs w:val="25"/>
        </w:rPr>
      </w:pPr>
    </w:p>
    <w:p w14:paraId="7ACBD1F0" w14:textId="77B65ED1" w:rsidR="00D13AA1" w:rsidRDefault="000B3739" w:rsidP="000B3739">
      <w:pPr>
        <w:spacing w:after="0" w:line="360" w:lineRule="auto"/>
        <w:ind w:left="-5" w:right="-9"/>
        <w:rPr>
          <w:sz w:val="25"/>
          <w:szCs w:val="25"/>
        </w:rPr>
      </w:pPr>
      <w:r w:rsidRPr="00F35F28">
        <w:rPr>
          <w:sz w:val="25"/>
          <w:szCs w:val="25"/>
        </w:rPr>
        <w:t xml:space="preserve">Closing this gap </w:t>
      </w:r>
      <w:r w:rsidR="00F04958" w:rsidRPr="00F35F28">
        <w:rPr>
          <w:sz w:val="25"/>
          <w:szCs w:val="25"/>
        </w:rPr>
        <w:t>is a perennial problem</w:t>
      </w:r>
      <w:r w:rsidRPr="00F35F28">
        <w:rPr>
          <w:sz w:val="25"/>
          <w:szCs w:val="25"/>
        </w:rPr>
        <w:t xml:space="preserve">. The challenge is to create a context where </w:t>
      </w:r>
      <w:r w:rsidR="00F33985">
        <w:rPr>
          <w:sz w:val="25"/>
          <w:szCs w:val="25"/>
        </w:rPr>
        <w:t xml:space="preserve">the public </w:t>
      </w:r>
      <w:r w:rsidRPr="00F35F28">
        <w:rPr>
          <w:sz w:val="25"/>
          <w:szCs w:val="25"/>
        </w:rPr>
        <w:t>trust</w:t>
      </w:r>
      <w:r w:rsidR="00F33985">
        <w:rPr>
          <w:sz w:val="25"/>
          <w:szCs w:val="25"/>
        </w:rPr>
        <w:t>s</w:t>
      </w:r>
      <w:r w:rsidRPr="00F35F28">
        <w:rPr>
          <w:sz w:val="25"/>
          <w:szCs w:val="25"/>
        </w:rPr>
        <w:t xml:space="preserve"> legislators to formulate rational, </w:t>
      </w:r>
      <w:proofErr w:type="gramStart"/>
      <w:r w:rsidRPr="00F35F28">
        <w:rPr>
          <w:sz w:val="25"/>
          <w:szCs w:val="25"/>
        </w:rPr>
        <w:t>effective</w:t>
      </w:r>
      <w:proofErr w:type="gramEnd"/>
      <w:r w:rsidRPr="00F35F28">
        <w:rPr>
          <w:sz w:val="25"/>
          <w:szCs w:val="25"/>
        </w:rPr>
        <w:t xml:space="preserve"> and proportionate responses; and where legislators are confident enough to challenge the centrality of the prison at every opportunity.</w:t>
      </w:r>
    </w:p>
    <w:p w14:paraId="5C263758" w14:textId="73901D95" w:rsidR="00AB6254" w:rsidRDefault="000B3739" w:rsidP="000B3739">
      <w:pPr>
        <w:spacing w:after="0" w:line="360" w:lineRule="auto"/>
        <w:ind w:left="-5" w:right="-9"/>
        <w:rPr>
          <w:sz w:val="25"/>
          <w:szCs w:val="25"/>
        </w:rPr>
      </w:pPr>
      <w:r w:rsidRPr="00F35F28">
        <w:rPr>
          <w:sz w:val="25"/>
          <w:szCs w:val="25"/>
        </w:rPr>
        <w:t xml:space="preserve"> </w:t>
      </w:r>
    </w:p>
    <w:p w14:paraId="44B6DE67" w14:textId="05DDD6A5" w:rsidR="000B3739" w:rsidRPr="00F35F28" w:rsidRDefault="000B3739" w:rsidP="000B3739">
      <w:pPr>
        <w:spacing w:after="0" w:line="360" w:lineRule="auto"/>
        <w:ind w:left="-5" w:right="-9"/>
        <w:rPr>
          <w:sz w:val="25"/>
          <w:szCs w:val="25"/>
        </w:rPr>
      </w:pPr>
      <w:r w:rsidRPr="00F35F28">
        <w:rPr>
          <w:sz w:val="25"/>
          <w:szCs w:val="25"/>
        </w:rPr>
        <w:t xml:space="preserve">Getting this right is extremely difficult but vitally important. </w:t>
      </w:r>
      <w:r w:rsidR="00AB6254">
        <w:rPr>
          <w:sz w:val="25"/>
          <w:szCs w:val="25"/>
        </w:rPr>
        <w:t>I believe that t</w:t>
      </w:r>
      <w:r w:rsidRPr="00F35F28">
        <w:rPr>
          <w:sz w:val="25"/>
          <w:szCs w:val="25"/>
        </w:rPr>
        <w:t xml:space="preserve">he principles of </w:t>
      </w:r>
      <w:r w:rsidR="001875D1">
        <w:rPr>
          <w:sz w:val="25"/>
          <w:szCs w:val="25"/>
        </w:rPr>
        <w:t>r</w:t>
      </w:r>
      <w:r w:rsidRPr="00F35F28">
        <w:rPr>
          <w:sz w:val="25"/>
          <w:szCs w:val="25"/>
        </w:rPr>
        <w:t xml:space="preserve">estorative </w:t>
      </w:r>
      <w:r w:rsidR="001875D1">
        <w:rPr>
          <w:sz w:val="25"/>
          <w:szCs w:val="25"/>
        </w:rPr>
        <w:t>justice</w:t>
      </w:r>
      <w:r w:rsidRPr="00F35F28">
        <w:rPr>
          <w:sz w:val="25"/>
          <w:szCs w:val="25"/>
        </w:rPr>
        <w:t xml:space="preserve"> might point </w:t>
      </w:r>
      <w:r w:rsidR="001875D1">
        <w:rPr>
          <w:sz w:val="25"/>
          <w:szCs w:val="25"/>
        </w:rPr>
        <w:t xml:space="preserve">a </w:t>
      </w:r>
      <w:r w:rsidRPr="00F35F28">
        <w:rPr>
          <w:sz w:val="25"/>
          <w:szCs w:val="25"/>
        </w:rPr>
        <w:t>way forward.</w:t>
      </w:r>
      <w:r w:rsidR="002B6FE8">
        <w:rPr>
          <w:rStyle w:val="FootnoteReference"/>
          <w:sz w:val="25"/>
          <w:szCs w:val="25"/>
        </w:rPr>
        <w:footnoteReference w:id="12"/>
      </w:r>
    </w:p>
    <w:p w14:paraId="315FE79C" w14:textId="77777777" w:rsidR="00E95AB6" w:rsidRPr="00F35F28" w:rsidRDefault="00E95AB6" w:rsidP="000B3739">
      <w:pPr>
        <w:spacing w:after="0" w:line="360" w:lineRule="auto"/>
        <w:ind w:left="-5" w:right="-9"/>
        <w:rPr>
          <w:sz w:val="25"/>
          <w:szCs w:val="25"/>
        </w:rPr>
      </w:pPr>
    </w:p>
    <w:p w14:paraId="287103E9" w14:textId="4C88AECD" w:rsidR="00F04958" w:rsidRPr="00F35F28" w:rsidRDefault="00940322" w:rsidP="00940322">
      <w:pPr>
        <w:spacing w:after="0" w:line="360" w:lineRule="auto"/>
        <w:ind w:left="-5" w:right="-9"/>
        <w:rPr>
          <w:rFonts w:cs="Arial"/>
          <w:sz w:val="25"/>
          <w:szCs w:val="25"/>
        </w:rPr>
      </w:pPr>
      <w:r w:rsidRPr="00F35F28">
        <w:rPr>
          <w:rFonts w:cs="Arial"/>
          <w:sz w:val="25"/>
          <w:szCs w:val="25"/>
        </w:rPr>
        <w:t>T</w:t>
      </w:r>
      <w:r w:rsidR="00302856" w:rsidRPr="00F35F28">
        <w:rPr>
          <w:rFonts w:cs="Arial"/>
          <w:sz w:val="25"/>
          <w:szCs w:val="25"/>
        </w:rPr>
        <w:t xml:space="preserve">he </w:t>
      </w:r>
      <w:r w:rsidR="00C9059F" w:rsidRPr="00F35F28">
        <w:rPr>
          <w:rFonts w:cs="Arial"/>
          <w:sz w:val="25"/>
          <w:szCs w:val="25"/>
        </w:rPr>
        <w:t xml:space="preserve">National Commission </w:t>
      </w:r>
      <w:r w:rsidR="00302856" w:rsidRPr="00F35F28">
        <w:rPr>
          <w:rFonts w:cs="Arial"/>
          <w:sz w:val="25"/>
          <w:szCs w:val="25"/>
        </w:rPr>
        <w:t>on R</w:t>
      </w:r>
      <w:r w:rsidR="00F04958" w:rsidRPr="00F35F28">
        <w:rPr>
          <w:rFonts w:cs="Arial"/>
          <w:sz w:val="25"/>
          <w:szCs w:val="25"/>
        </w:rPr>
        <w:t xml:space="preserve">estorative </w:t>
      </w:r>
      <w:r w:rsidR="00302856" w:rsidRPr="00F35F28">
        <w:rPr>
          <w:rFonts w:cs="Arial"/>
          <w:sz w:val="25"/>
          <w:szCs w:val="25"/>
        </w:rPr>
        <w:t>J</w:t>
      </w:r>
      <w:r w:rsidR="00F04958" w:rsidRPr="00F35F28">
        <w:rPr>
          <w:rFonts w:cs="Arial"/>
          <w:sz w:val="25"/>
          <w:szCs w:val="25"/>
        </w:rPr>
        <w:t>ustice</w:t>
      </w:r>
      <w:r w:rsidR="00302856" w:rsidRPr="00F35F28">
        <w:rPr>
          <w:rFonts w:cs="Arial"/>
          <w:sz w:val="25"/>
          <w:szCs w:val="25"/>
        </w:rPr>
        <w:t xml:space="preserve"> published its final report in 2009 after a two-year period of research and deliberation. </w:t>
      </w:r>
      <w:r w:rsidRPr="00F35F28">
        <w:rPr>
          <w:rFonts w:cs="Arial"/>
          <w:sz w:val="25"/>
          <w:szCs w:val="25"/>
        </w:rPr>
        <w:t xml:space="preserve">It </w:t>
      </w:r>
      <w:r w:rsidR="00F04958" w:rsidRPr="00F35F28">
        <w:rPr>
          <w:rFonts w:cs="Arial"/>
          <w:sz w:val="25"/>
          <w:szCs w:val="25"/>
        </w:rPr>
        <w:t xml:space="preserve">concluded that </w:t>
      </w:r>
      <w:r w:rsidR="000B3739" w:rsidRPr="00F35F28">
        <w:rPr>
          <w:rFonts w:cs="Arial"/>
          <w:sz w:val="25"/>
          <w:szCs w:val="25"/>
        </w:rPr>
        <w:t>r</w:t>
      </w:r>
      <w:r w:rsidR="00F04958" w:rsidRPr="00F35F28">
        <w:rPr>
          <w:rFonts w:cs="Arial"/>
          <w:sz w:val="25"/>
          <w:szCs w:val="25"/>
        </w:rPr>
        <w:t xml:space="preserve">estorative </w:t>
      </w:r>
      <w:r w:rsidR="000B3739" w:rsidRPr="00F35F28">
        <w:rPr>
          <w:rFonts w:cs="Arial"/>
          <w:sz w:val="25"/>
          <w:szCs w:val="25"/>
        </w:rPr>
        <w:t>j</w:t>
      </w:r>
      <w:r w:rsidR="00F04958" w:rsidRPr="00F35F28">
        <w:rPr>
          <w:rFonts w:cs="Arial"/>
          <w:sz w:val="25"/>
          <w:szCs w:val="25"/>
        </w:rPr>
        <w:t>ustice was</w:t>
      </w:r>
      <w:r w:rsidR="000B3739" w:rsidRPr="00F35F28">
        <w:rPr>
          <w:rFonts w:cs="Arial"/>
          <w:sz w:val="25"/>
          <w:szCs w:val="25"/>
        </w:rPr>
        <w:t xml:space="preserve"> “</w:t>
      </w:r>
      <w:r w:rsidR="00F04958" w:rsidRPr="00F35F28">
        <w:rPr>
          <w:rFonts w:cs="Arial"/>
          <w:sz w:val="25"/>
          <w:szCs w:val="25"/>
        </w:rPr>
        <w:t>an invaluable cost-effective option</w:t>
      </w:r>
      <w:r w:rsidR="000B3739" w:rsidRPr="00F35F28">
        <w:rPr>
          <w:rFonts w:cs="Arial"/>
          <w:sz w:val="25"/>
          <w:szCs w:val="25"/>
        </w:rPr>
        <w:t>”.</w:t>
      </w:r>
      <w:r w:rsidR="00F04958" w:rsidRPr="00F35F28">
        <w:rPr>
          <w:rFonts w:cs="Arial"/>
          <w:sz w:val="25"/>
          <w:szCs w:val="25"/>
        </w:rPr>
        <w:t xml:space="preserve"> It recommended that where a judge is contemplating a custodial sentence of up to three years, he or she should be required to consider referring the case to a restorative process. It called for nationwide implementation of restorative justice by 2015.</w:t>
      </w:r>
      <w:r w:rsidR="00F04958" w:rsidRPr="00F35F28">
        <w:rPr>
          <w:rStyle w:val="FootnoteReference"/>
          <w:rFonts w:cs="Arial"/>
          <w:sz w:val="25"/>
          <w:szCs w:val="25"/>
        </w:rPr>
        <w:footnoteReference w:id="13"/>
      </w:r>
    </w:p>
    <w:p w14:paraId="10AF1979" w14:textId="77777777" w:rsidR="00F04958" w:rsidRPr="00F35F28" w:rsidRDefault="00F04958" w:rsidP="001D5E21">
      <w:pPr>
        <w:spacing w:after="0" w:line="360" w:lineRule="auto"/>
        <w:ind w:left="-5" w:right="-9"/>
        <w:rPr>
          <w:rFonts w:cs="Arial"/>
          <w:sz w:val="25"/>
          <w:szCs w:val="25"/>
        </w:rPr>
      </w:pPr>
    </w:p>
    <w:p w14:paraId="54A1F550" w14:textId="77777777" w:rsidR="00FD7682" w:rsidRDefault="00FD7682" w:rsidP="001D5E21">
      <w:pPr>
        <w:spacing w:after="0" w:line="360" w:lineRule="auto"/>
        <w:rPr>
          <w:rFonts w:cs="Arial"/>
          <w:sz w:val="25"/>
          <w:szCs w:val="25"/>
        </w:rPr>
      </w:pPr>
    </w:p>
    <w:p w14:paraId="2D10300A" w14:textId="66408D75" w:rsidR="00C9059F" w:rsidRPr="00F35F28" w:rsidRDefault="00F04958" w:rsidP="001D5E21">
      <w:pPr>
        <w:spacing w:after="0" w:line="360" w:lineRule="auto"/>
        <w:rPr>
          <w:rFonts w:cs="Arial"/>
          <w:sz w:val="25"/>
          <w:szCs w:val="25"/>
        </w:rPr>
      </w:pPr>
      <w:r w:rsidRPr="00F35F28">
        <w:rPr>
          <w:rFonts w:cs="Arial"/>
          <w:sz w:val="25"/>
          <w:szCs w:val="25"/>
        </w:rPr>
        <w:lastRenderedPageBreak/>
        <w:t>While t</w:t>
      </w:r>
      <w:r w:rsidR="00C9059F" w:rsidRPr="00F35F28">
        <w:rPr>
          <w:rFonts w:cs="Arial"/>
          <w:sz w:val="25"/>
          <w:szCs w:val="25"/>
        </w:rPr>
        <w:t xml:space="preserve">he National Commission and its recommendations have </w:t>
      </w:r>
      <w:r w:rsidR="003D7034" w:rsidRPr="00F35F28">
        <w:rPr>
          <w:rFonts w:cs="Arial"/>
          <w:sz w:val="25"/>
          <w:szCs w:val="25"/>
        </w:rPr>
        <w:t xml:space="preserve">largely </w:t>
      </w:r>
      <w:r w:rsidR="00C9059F" w:rsidRPr="00F35F28">
        <w:rPr>
          <w:rFonts w:cs="Arial"/>
          <w:sz w:val="25"/>
          <w:szCs w:val="25"/>
        </w:rPr>
        <w:t>been forgotten</w:t>
      </w:r>
      <w:r w:rsidRPr="00F35F28">
        <w:rPr>
          <w:rFonts w:cs="Arial"/>
          <w:sz w:val="25"/>
          <w:szCs w:val="25"/>
        </w:rPr>
        <w:t xml:space="preserve">, </w:t>
      </w:r>
      <w:r w:rsidR="00C9059F" w:rsidRPr="00F35F28">
        <w:rPr>
          <w:rFonts w:cs="Arial"/>
          <w:sz w:val="25"/>
          <w:szCs w:val="25"/>
        </w:rPr>
        <w:t xml:space="preserve">a high-level commitment to the principles of restorative justice remains in evidence. The </w:t>
      </w:r>
      <w:r w:rsidR="00C9059F" w:rsidRPr="00F35F28">
        <w:rPr>
          <w:rFonts w:cs="Arial"/>
          <w:i/>
          <w:iCs/>
          <w:sz w:val="25"/>
          <w:szCs w:val="25"/>
        </w:rPr>
        <w:t xml:space="preserve">Programme for Government </w:t>
      </w:r>
      <w:r w:rsidR="001875D1">
        <w:rPr>
          <w:rFonts w:cs="Arial"/>
          <w:sz w:val="25"/>
          <w:szCs w:val="25"/>
        </w:rPr>
        <w:t xml:space="preserve">undertakes </w:t>
      </w:r>
      <w:r w:rsidR="00C9059F" w:rsidRPr="00F35F28">
        <w:rPr>
          <w:rFonts w:cs="Arial"/>
          <w:sz w:val="25"/>
          <w:szCs w:val="25"/>
        </w:rPr>
        <w:t xml:space="preserve">to “Work with all criminal justice agencies to build capacity to deliver restorative justice, safely and effectively”. The </w:t>
      </w:r>
      <w:r w:rsidR="00C9059F" w:rsidRPr="00F35F28">
        <w:rPr>
          <w:rFonts w:cs="Arial"/>
          <w:i/>
          <w:iCs/>
          <w:sz w:val="25"/>
          <w:szCs w:val="25"/>
        </w:rPr>
        <w:t>Justice Plan 202</w:t>
      </w:r>
      <w:r w:rsidR="00D13AA1">
        <w:rPr>
          <w:rFonts w:cs="Arial"/>
          <w:i/>
          <w:iCs/>
          <w:sz w:val="25"/>
          <w:szCs w:val="25"/>
        </w:rPr>
        <w:t>3</w:t>
      </w:r>
      <w:r w:rsidR="00C9059F" w:rsidRPr="00F35F28">
        <w:rPr>
          <w:rFonts w:cs="Arial"/>
          <w:sz w:val="25"/>
          <w:szCs w:val="25"/>
        </w:rPr>
        <w:t xml:space="preserve"> promises to “Deliver restorative justice safely and effectively.”</w:t>
      </w:r>
    </w:p>
    <w:p w14:paraId="13EC162E" w14:textId="77777777" w:rsidR="00D13AA1" w:rsidRDefault="00D13AA1" w:rsidP="001D5E21">
      <w:pPr>
        <w:spacing w:after="0" w:line="360" w:lineRule="auto"/>
        <w:rPr>
          <w:rFonts w:cs="Arial"/>
          <w:sz w:val="25"/>
          <w:szCs w:val="25"/>
        </w:rPr>
      </w:pPr>
    </w:p>
    <w:p w14:paraId="455EDB48" w14:textId="27BFAD20" w:rsidR="001D5E21" w:rsidRPr="00F35F28" w:rsidRDefault="00F04958" w:rsidP="001D5E21">
      <w:pPr>
        <w:spacing w:after="0" w:line="360" w:lineRule="auto"/>
        <w:rPr>
          <w:rFonts w:cs="Arial"/>
          <w:sz w:val="25"/>
          <w:szCs w:val="25"/>
        </w:rPr>
      </w:pPr>
      <w:r w:rsidRPr="00F35F28">
        <w:rPr>
          <w:rFonts w:cs="Arial"/>
          <w:sz w:val="25"/>
          <w:szCs w:val="25"/>
        </w:rPr>
        <w:t xml:space="preserve">If this commitment could be given practical effect it might go some way towards realising the </w:t>
      </w:r>
      <w:r w:rsidR="00F002E6">
        <w:rPr>
          <w:rFonts w:cs="Arial"/>
          <w:sz w:val="25"/>
          <w:szCs w:val="25"/>
        </w:rPr>
        <w:t>S</w:t>
      </w:r>
      <w:r w:rsidRPr="00F35F28">
        <w:rPr>
          <w:rFonts w:cs="Arial"/>
          <w:sz w:val="25"/>
          <w:szCs w:val="25"/>
        </w:rPr>
        <w:t>ub-</w:t>
      </w:r>
      <w:r w:rsidR="00F002E6">
        <w:rPr>
          <w:rFonts w:cs="Arial"/>
          <w:sz w:val="25"/>
          <w:szCs w:val="25"/>
        </w:rPr>
        <w:t>C</w:t>
      </w:r>
      <w:r w:rsidRPr="00F35F28">
        <w:rPr>
          <w:rFonts w:cs="Arial"/>
          <w:sz w:val="25"/>
          <w:szCs w:val="25"/>
        </w:rPr>
        <w:t>ommittee’s desire to reduce the size of the prison population, move away from</w:t>
      </w:r>
      <w:r w:rsidR="000B3739" w:rsidRPr="00F35F28">
        <w:rPr>
          <w:rFonts w:cs="Arial"/>
          <w:sz w:val="25"/>
          <w:szCs w:val="25"/>
        </w:rPr>
        <w:t xml:space="preserve"> a</w:t>
      </w:r>
      <w:r w:rsidRPr="00F35F28">
        <w:rPr>
          <w:rFonts w:cs="Arial"/>
          <w:sz w:val="25"/>
          <w:szCs w:val="25"/>
        </w:rPr>
        <w:t xml:space="preserve"> reliance on short bursts of imprisonment, and protect society. </w:t>
      </w:r>
    </w:p>
    <w:p w14:paraId="5A6D6D7E" w14:textId="77777777" w:rsidR="000B3739" w:rsidRDefault="000B3739" w:rsidP="001D5E21">
      <w:pPr>
        <w:spacing w:after="0" w:line="360" w:lineRule="auto"/>
        <w:ind w:left="-5" w:right="-9"/>
        <w:rPr>
          <w:sz w:val="25"/>
          <w:szCs w:val="25"/>
        </w:rPr>
      </w:pPr>
    </w:p>
    <w:p w14:paraId="09C5E081" w14:textId="77777777" w:rsidR="00FB701F" w:rsidRDefault="00FB701F" w:rsidP="001D5E21">
      <w:pPr>
        <w:spacing w:after="0" w:line="360" w:lineRule="auto"/>
        <w:ind w:left="-5" w:right="-9"/>
        <w:rPr>
          <w:sz w:val="25"/>
          <w:szCs w:val="25"/>
        </w:rPr>
      </w:pPr>
    </w:p>
    <w:p w14:paraId="0BFBF3D6" w14:textId="2D9BDF32" w:rsidR="008300EC" w:rsidRPr="00FB701F" w:rsidRDefault="00FB701F" w:rsidP="001D5E21">
      <w:pPr>
        <w:spacing w:after="0" w:line="360" w:lineRule="auto"/>
        <w:ind w:left="-5" w:right="-9"/>
        <w:rPr>
          <w:b/>
          <w:bCs/>
          <w:sz w:val="25"/>
          <w:szCs w:val="25"/>
        </w:rPr>
      </w:pPr>
      <w:r w:rsidRPr="00FB701F">
        <w:rPr>
          <w:b/>
          <w:bCs/>
          <w:sz w:val="25"/>
          <w:szCs w:val="25"/>
        </w:rPr>
        <w:t>***</w:t>
      </w:r>
    </w:p>
    <w:p w14:paraId="3AD96349" w14:textId="77777777" w:rsidR="00FB701F" w:rsidRDefault="00FB701F" w:rsidP="001D5E21">
      <w:pPr>
        <w:spacing w:after="0" w:line="360" w:lineRule="auto"/>
        <w:ind w:left="-5"/>
        <w:jc w:val="left"/>
        <w:rPr>
          <w:b/>
          <w:sz w:val="25"/>
          <w:szCs w:val="25"/>
        </w:rPr>
      </w:pPr>
    </w:p>
    <w:p w14:paraId="6E4675C1" w14:textId="4FCE5D2D" w:rsidR="00F650AE" w:rsidRPr="00F35F28" w:rsidRDefault="000B3739" w:rsidP="001D5E21">
      <w:pPr>
        <w:spacing w:after="0" w:line="360" w:lineRule="auto"/>
        <w:ind w:left="-5"/>
        <w:jc w:val="left"/>
        <w:rPr>
          <w:sz w:val="25"/>
          <w:szCs w:val="25"/>
        </w:rPr>
      </w:pPr>
      <w:r w:rsidRPr="00F35F28">
        <w:rPr>
          <w:b/>
          <w:sz w:val="25"/>
          <w:szCs w:val="25"/>
        </w:rPr>
        <w:t>18</w:t>
      </w:r>
      <w:r w:rsidR="00B711AC" w:rsidRPr="00F35F28">
        <w:rPr>
          <w:b/>
          <w:sz w:val="25"/>
          <w:szCs w:val="25"/>
        </w:rPr>
        <w:t xml:space="preserve"> October 2023</w:t>
      </w:r>
    </w:p>
    <w:p w14:paraId="57B8930D" w14:textId="77777777" w:rsidR="008300EC" w:rsidRDefault="008300EC" w:rsidP="00C2204D">
      <w:pPr>
        <w:spacing w:after="0" w:line="360" w:lineRule="auto"/>
        <w:ind w:left="0" w:firstLine="0"/>
        <w:jc w:val="left"/>
        <w:rPr>
          <w:b/>
          <w:sz w:val="25"/>
          <w:szCs w:val="25"/>
        </w:rPr>
      </w:pPr>
    </w:p>
    <w:p w14:paraId="166D956B" w14:textId="5BC60B9E" w:rsidR="00F650AE" w:rsidRPr="00F35F28" w:rsidRDefault="00000000" w:rsidP="00C2204D">
      <w:pPr>
        <w:spacing w:after="0" w:line="360" w:lineRule="auto"/>
        <w:ind w:left="0" w:firstLine="0"/>
        <w:jc w:val="left"/>
        <w:rPr>
          <w:sz w:val="25"/>
          <w:szCs w:val="25"/>
        </w:rPr>
      </w:pPr>
      <w:r w:rsidRPr="00F35F28">
        <w:rPr>
          <w:b/>
          <w:sz w:val="25"/>
          <w:szCs w:val="25"/>
        </w:rPr>
        <w:t>Ian O’Donnell</w:t>
      </w:r>
      <w:r w:rsidR="003D7034" w:rsidRPr="00F35F28">
        <w:rPr>
          <w:b/>
          <w:sz w:val="25"/>
          <w:szCs w:val="25"/>
        </w:rPr>
        <w:t>, Professor of Criminology, University College Dublin</w:t>
      </w:r>
      <w:r w:rsidRPr="00F35F28">
        <w:rPr>
          <w:b/>
          <w:sz w:val="25"/>
          <w:szCs w:val="25"/>
        </w:rPr>
        <w:t xml:space="preserve"> </w:t>
      </w:r>
    </w:p>
    <w:p w14:paraId="0509E478" w14:textId="07426738" w:rsidR="00F650AE" w:rsidRPr="001D5E21" w:rsidRDefault="00000000" w:rsidP="001D5E21">
      <w:pPr>
        <w:spacing w:after="0" w:line="360" w:lineRule="auto"/>
        <w:ind w:left="-5"/>
        <w:jc w:val="left"/>
        <w:rPr>
          <w:szCs w:val="24"/>
        </w:rPr>
      </w:pPr>
      <w:r w:rsidRPr="00F35F28">
        <w:rPr>
          <w:b/>
          <w:sz w:val="25"/>
          <w:szCs w:val="25"/>
        </w:rPr>
        <w:t xml:space="preserve">Tel: (01) 716 </w:t>
      </w:r>
      <w:r w:rsidR="00B711AC" w:rsidRPr="00F35F28">
        <w:rPr>
          <w:b/>
          <w:sz w:val="25"/>
          <w:szCs w:val="25"/>
        </w:rPr>
        <w:t>4121</w:t>
      </w:r>
      <w:r w:rsidR="003D7034" w:rsidRPr="00F35F28">
        <w:rPr>
          <w:b/>
          <w:sz w:val="25"/>
          <w:szCs w:val="25"/>
        </w:rPr>
        <w:t xml:space="preserve">, </w:t>
      </w:r>
      <w:r w:rsidRPr="00F35F28">
        <w:rPr>
          <w:b/>
          <w:sz w:val="25"/>
          <w:szCs w:val="25"/>
        </w:rPr>
        <w:t xml:space="preserve">Email: </w:t>
      </w:r>
      <w:r w:rsidRPr="00F35F28">
        <w:rPr>
          <w:b/>
          <w:color w:val="0000FF"/>
          <w:sz w:val="25"/>
          <w:szCs w:val="25"/>
          <w:u w:val="single" w:color="0000FF"/>
        </w:rPr>
        <w:t>ian.odonnell@ucd.ie</w:t>
      </w:r>
      <w:r w:rsidRPr="00F35F28">
        <w:rPr>
          <w:sz w:val="25"/>
          <w:szCs w:val="25"/>
        </w:rPr>
        <w:t xml:space="preserve"> </w:t>
      </w:r>
    </w:p>
    <w:sectPr w:rsidR="00F650AE" w:rsidRPr="001D5E21" w:rsidSect="00A17D6A">
      <w:footerReference w:type="even" r:id="rId8"/>
      <w:footerReference w:type="default" r:id="rId9"/>
      <w:footerReference w:type="first" r:id="rId10"/>
      <w:pgSz w:w="11906" w:h="16838"/>
      <w:pgMar w:top="1440" w:right="1440" w:bottom="1440" w:left="1440" w:header="720" w:footer="7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995D" w14:textId="77777777" w:rsidR="00B2346C" w:rsidRDefault="00B2346C">
      <w:pPr>
        <w:spacing w:after="0" w:line="240" w:lineRule="auto"/>
      </w:pPr>
      <w:r>
        <w:separator/>
      </w:r>
    </w:p>
  </w:endnote>
  <w:endnote w:type="continuationSeparator" w:id="0">
    <w:p w14:paraId="715F372B" w14:textId="77777777" w:rsidR="00B2346C" w:rsidRDefault="00B2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D109" w14:textId="77777777" w:rsidR="00F650AE" w:rsidRDefault="00000000">
    <w:pPr>
      <w:tabs>
        <w:tab w:val="right" w:pos="8311"/>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49AA" w14:textId="77777777" w:rsidR="00F650AE" w:rsidRPr="005578B3" w:rsidRDefault="00000000">
    <w:pPr>
      <w:tabs>
        <w:tab w:val="right" w:pos="8311"/>
      </w:tabs>
      <w:spacing w:after="0" w:line="259" w:lineRule="auto"/>
      <w:ind w:left="0" w:firstLine="0"/>
      <w:jc w:val="left"/>
      <w:rPr>
        <w:sz w:val="22"/>
      </w:rPr>
    </w:pPr>
    <w:r>
      <w:rPr>
        <w:rFonts w:ascii="Times New Roman" w:eastAsia="Times New Roman" w:hAnsi="Times New Roman" w:cs="Times New Roman"/>
      </w:rPr>
      <w:t xml:space="preserve"> </w:t>
    </w:r>
    <w:r>
      <w:rPr>
        <w:rFonts w:ascii="Times New Roman" w:eastAsia="Times New Roman" w:hAnsi="Times New Roman" w:cs="Times New Roman"/>
      </w:rPr>
      <w:tab/>
    </w:r>
    <w:r w:rsidRPr="005578B3">
      <w:rPr>
        <w:sz w:val="22"/>
      </w:rPr>
      <w:fldChar w:fldCharType="begin"/>
    </w:r>
    <w:r w:rsidRPr="005578B3">
      <w:rPr>
        <w:sz w:val="22"/>
      </w:rPr>
      <w:instrText xml:space="preserve"> PAGE   \* MERGEFORMAT </w:instrText>
    </w:r>
    <w:r w:rsidRPr="005578B3">
      <w:rPr>
        <w:sz w:val="22"/>
      </w:rPr>
      <w:fldChar w:fldCharType="separate"/>
    </w:r>
    <w:r w:rsidRPr="005578B3">
      <w:rPr>
        <w:rFonts w:eastAsia="Times New Roman" w:cs="Times New Roman"/>
        <w:sz w:val="22"/>
      </w:rPr>
      <w:t>1</w:t>
    </w:r>
    <w:r w:rsidRPr="005578B3">
      <w:rPr>
        <w:rFonts w:eastAsia="Times New Roman" w:cs="Times New Roman"/>
        <w:sz w:val="22"/>
      </w:rPr>
      <w:fldChar w:fldCharType="end"/>
    </w:r>
    <w:r w:rsidRPr="005578B3">
      <w:rPr>
        <w:rFonts w:eastAsia="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82E6" w14:textId="77777777" w:rsidR="00F650AE" w:rsidRDefault="00000000">
    <w:pPr>
      <w:tabs>
        <w:tab w:val="right" w:pos="8311"/>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680C" w14:textId="77777777" w:rsidR="00B2346C" w:rsidRDefault="00B2346C">
      <w:pPr>
        <w:spacing w:after="0" w:line="259" w:lineRule="auto"/>
        <w:ind w:left="0" w:firstLine="0"/>
        <w:jc w:val="left"/>
      </w:pPr>
      <w:r>
        <w:separator/>
      </w:r>
    </w:p>
  </w:footnote>
  <w:footnote w:type="continuationSeparator" w:id="0">
    <w:p w14:paraId="46761731" w14:textId="77777777" w:rsidR="00B2346C" w:rsidRDefault="00B2346C">
      <w:pPr>
        <w:spacing w:after="0" w:line="259" w:lineRule="auto"/>
        <w:ind w:left="0" w:firstLine="0"/>
        <w:jc w:val="left"/>
      </w:pPr>
      <w:r>
        <w:continuationSeparator/>
      </w:r>
    </w:p>
  </w:footnote>
  <w:footnote w:id="1">
    <w:p w14:paraId="07DABF01" w14:textId="1987380F" w:rsidR="008300EC" w:rsidRPr="008300EC" w:rsidRDefault="008300EC" w:rsidP="00B970B0">
      <w:pPr>
        <w:spacing w:after="0" w:line="240" w:lineRule="auto"/>
        <w:ind w:left="0" w:firstLine="0"/>
        <w:jc w:val="left"/>
        <w:rPr>
          <w:sz w:val="20"/>
          <w:szCs w:val="20"/>
          <w:lang w:val="en-US"/>
        </w:rPr>
      </w:pPr>
      <w:r w:rsidRPr="008300EC">
        <w:rPr>
          <w:rStyle w:val="FootnoteReference"/>
          <w:sz w:val="20"/>
          <w:szCs w:val="20"/>
        </w:rPr>
        <w:footnoteRef/>
      </w:r>
      <w:r w:rsidRPr="008300EC">
        <w:rPr>
          <w:sz w:val="20"/>
          <w:szCs w:val="20"/>
        </w:rPr>
        <w:t xml:space="preserve"> Based on Irish Prison Service figure of €80,335 per</w:t>
      </w:r>
      <w:r w:rsidR="00B970B0" w:rsidRPr="00B970B0">
        <w:t xml:space="preserve"> </w:t>
      </w:r>
      <w:r w:rsidR="00B970B0">
        <w:t>“</w:t>
      </w:r>
      <w:r w:rsidR="00B970B0" w:rsidRPr="00B970B0">
        <w:rPr>
          <w:sz w:val="20"/>
          <w:szCs w:val="20"/>
        </w:rPr>
        <w:t>available, staffed</w:t>
      </w:r>
      <w:r w:rsidR="00B970B0">
        <w:rPr>
          <w:sz w:val="20"/>
          <w:szCs w:val="20"/>
        </w:rPr>
        <w:t xml:space="preserve"> </w:t>
      </w:r>
      <w:r w:rsidR="00B970B0" w:rsidRPr="00B970B0">
        <w:rPr>
          <w:sz w:val="20"/>
          <w:szCs w:val="20"/>
        </w:rPr>
        <w:t>prison space</w:t>
      </w:r>
      <w:r w:rsidR="00B970B0">
        <w:rPr>
          <w:sz w:val="20"/>
          <w:szCs w:val="20"/>
        </w:rPr>
        <w:t>”</w:t>
      </w:r>
      <w:r w:rsidRPr="008300EC">
        <w:rPr>
          <w:sz w:val="20"/>
          <w:szCs w:val="20"/>
        </w:rPr>
        <w:t xml:space="preserve"> in 2021.</w:t>
      </w:r>
    </w:p>
  </w:footnote>
  <w:footnote w:id="2">
    <w:p w14:paraId="30CE7FA4" w14:textId="2EEB0032" w:rsidR="008147AC" w:rsidRPr="00351AB5" w:rsidRDefault="008147AC" w:rsidP="008300EC">
      <w:pPr>
        <w:pStyle w:val="FootnoteText"/>
        <w:rPr>
          <w:rFonts w:ascii="Cambria" w:hAnsi="Cambria"/>
          <w:lang w:val="en-US"/>
        </w:rPr>
      </w:pPr>
      <w:r w:rsidRPr="008300EC">
        <w:rPr>
          <w:rStyle w:val="FootnoteReference"/>
          <w:rFonts w:ascii="Cambria" w:hAnsi="Cambria"/>
        </w:rPr>
        <w:footnoteRef/>
      </w:r>
      <w:r w:rsidRPr="008300EC">
        <w:rPr>
          <w:rFonts w:ascii="Cambria" w:hAnsi="Cambria"/>
        </w:rPr>
        <w:t xml:space="preserve"> </w:t>
      </w:r>
      <w:r w:rsidR="00393C02" w:rsidRPr="008300EC">
        <w:rPr>
          <w:rFonts w:ascii="Cambria" w:hAnsi="Cambria"/>
        </w:rPr>
        <w:t xml:space="preserve">The Fines (Payment and Recovery) Act 2014 introduced the </w:t>
      </w:r>
      <w:r w:rsidR="00A17D6A" w:rsidRPr="008300EC">
        <w:rPr>
          <w:rFonts w:ascii="Cambria" w:hAnsi="Cambria"/>
        </w:rPr>
        <w:t xml:space="preserve">option </w:t>
      </w:r>
      <w:r w:rsidR="00393C02" w:rsidRPr="008300EC">
        <w:rPr>
          <w:rFonts w:ascii="Cambria" w:hAnsi="Cambria"/>
        </w:rPr>
        <w:t>to pay a fine by instalment over 12 months and other measures including attachment of earnings for unpaid fines and community service instead of imprisonment in default.</w:t>
      </w:r>
    </w:p>
  </w:footnote>
  <w:footnote w:id="3">
    <w:p w14:paraId="1F5D90D1" w14:textId="33691A56" w:rsidR="00F9273D" w:rsidRPr="00351AB5" w:rsidRDefault="00F9273D" w:rsidP="001D5E21">
      <w:pPr>
        <w:pStyle w:val="FootnoteText"/>
        <w:rPr>
          <w:rFonts w:ascii="Cambria" w:hAnsi="Cambria"/>
          <w:lang w:val="en-US"/>
        </w:rPr>
      </w:pPr>
      <w:r w:rsidRPr="00351AB5">
        <w:rPr>
          <w:rStyle w:val="FootnoteReference"/>
          <w:rFonts w:ascii="Cambria" w:hAnsi="Cambria"/>
        </w:rPr>
        <w:footnoteRef/>
      </w:r>
      <w:r w:rsidRPr="00351AB5">
        <w:rPr>
          <w:rFonts w:ascii="Cambria" w:hAnsi="Cambria"/>
        </w:rPr>
        <w:t xml:space="preserve"> </w:t>
      </w:r>
      <w:r w:rsidR="007E25ED" w:rsidRPr="00351AB5">
        <w:rPr>
          <w:rFonts w:ascii="Cambria" w:hAnsi="Cambria"/>
        </w:rPr>
        <w:t xml:space="preserve">Ian O'Donnell (2017) ‘Ireland’s shrinking prison population’, </w:t>
      </w:r>
      <w:r w:rsidR="007E25ED" w:rsidRPr="00351AB5">
        <w:rPr>
          <w:rFonts w:ascii="Cambria" w:hAnsi="Cambria"/>
          <w:i/>
          <w:iCs/>
        </w:rPr>
        <w:t>Irish Criminal Law Journal</w:t>
      </w:r>
      <w:r w:rsidR="007E25ED" w:rsidRPr="00351AB5">
        <w:rPr>
          <w:rFonts w:ascii="Cambria" w:hAnsi="Cambria"/>
        </w:rPr>
        <w:t xml:space="preserve">, 27(3) at </w:t>
      </w:r>
      <w:r w:rsidR="00351AB5" w:rsidRPr="00351AB5">
        <w:rPr>
          <w:rFonts w:ascii="Cambria" w:hAnsi="Cambria"/>
        </w:rPr>
        <w:t>75</w:t>
      </w:r>
      <w:r w:rsidR="007E25ED" w:rsidRPr="00351AB5">
        <w:rPr>
          <w:rFonts w:ascii="Cambria" w:hAnsi="Cambria"/>
        </w:rPr>
        <w:t>.</w:t>
      </w:r>
    </w:p>
  </w:footnote>
  <w:footnote w:id="4">
    <w:p w14:paraId="5C64E59A" w14:textId="4F4190C6" w:rsidR="0098064E" w:rsidRPr="00351AB5" w:rsidRDefault="0098064E" w:rsidP="001D5E21">
      <w:pPr>
        <w:pStyle w:val="FootnoteText"/>
        <w:rPr>
          <w:rFonts w:ascii="Cambria" w:hAnsi="Cambria"/>
          <w:lang w:val="en-US"/>
        </w:rPr>
      </w:pPr>
      <w:r w:rsidRPr="00351AB5">
        <w:rPr>
          <w:rStyle w:val="FootnoteReference"/>
          <w:rFonts w:ascii="Cambria" w:hAnsi="Cambria"/>
        </w:rPr>
        <w:footnoteRef/>
      </w:r>
      <w:r w:rsidRPr="00351AB5">
        <w:rPr>
          <w:rFonts w:ascii="Cambria" w:hAnsi="Cambria"/>
        </w:rPr>
        <w:t xml:space="preserve"> </w:t>
      </w:r>
      <w:r w:rsidR="00AF7B9F" w:rsidRPr="00351AB5">
        <w:rPr>
          <w:rFonts w:ascii="Cambria" w:hAnsi="Cambria"/>
        </w:rPr>
        <w:t>I</w:t>
      </w:r>
      <w:r w:rsidR="0029625E">
        <w:rPr>
          <w:rFonts w:ascii="Cambria" w:hAnsi="Cambria"/>
        </w:rPr>
        <w:t>f we i</w:t>
      </w:r>
      <w:r w:rsidR="00351AB5" w:rsidRPr="00351AB5">
        <w:rPr>
          <w:rFonts w:ascii="Cambria" w:hAnsi="Cambria"/>
        </w:rPr>
        <w:t>nclud</w:t>
      </w:r>
      <w:r w:rsidR="0029625E">
        <w:rPr>
          <w:rFonts w:ascii="Cambria" w:hAnsi="Cambria"/>
        </w:rPr>
        <w:t>e</w:t>
      </w:r>
      <w:r w:rsidR="00351AB5" w:rsidRPr="00351AB5">
        <w:rPr>
          <w:rFonts w:ascii="Cambria" w:hAnsi="Cambria"/>
        </w:rPr>
        <w:t xml:space="preserve"> </w:t>
      </w:r>
      <w:r w:rsidR="00AF7B9F" w:rsidRPr="00351AB5">
        <w:rPr>
          <w:rFonts w:ascii="Cambria" w:hAnsi="Cambria"/>
        </w:rPr>
        <w:t>th</w:t>
      </w:r>
      <w:r w:rsidR="00351AB5" w:rsidRPr="00351AB5">
        <w:rPr>
          <w:rFonts w:ascii="Cambria" w:hAnsi="Cambria"/>
        </w:rPr>
        <w:t>ose</w:t>
      </w:r>
      <w:r w:rsidR="00AF7B9F" w:rsidRPr="00351AB5">
        <w:rPr>
          <w:rFonts w:ascii="Cambria" w:hAnsi="Cambria"/>
        </w:rPr>
        <w:t xml:space="preserve"> on Temporary Release</w:t>
      </w:r>
      <w:r w:rsidR="00351AB5" w:rsidRPr="00351AB5">
        <w:rPr>
          <w:rFonts w:ascii="Cambria" w:hAnsi="Cambria"/>
        </w:rPr>
        <w:t>,</w:t>
      </w:r>
      <w:r w:rsidR="00AF7B9F" w:rsidRPr="00351AB5">
        <w:rPr>
          <w:rFonts w:ascii="Cambria" w:hAnsi="Cambria"/>
        </w:rPr>
        <w:t xml:space="preserve"> the rise is even steeper. </w:t>
      </w:r>
      <w:r w:rsidR="00351AB5" w:rsidRPr="00351AB5">
        <w:rPr>
          <w:rFonts w:ascii="Cambria" w:hAnsi="Cambria"/>
        </w:rPr>
        <w:t xml:space="preserve">On </w:t>
      </w:r>
      <w:r w:rsidRPr="00351AB5">
        <w:rPr>
          <w:rFonts w:ascii="Cambria" w:hAnsi="Cambria"/>
          <w:lang w:val="en-US"/>
        </w:rPr>
        <w:t xml:space="preserve">Wednesday 6 October 2021 </w:t>
      </w:r>
      <w:r w:rsidR="00351AB5" w:rsidRPr="00351AB5">
        <w:rPr>
          <w:rFonts w:ascii="Cambria" w:hAnsi="Cambria"/>
          <w:lang w:val="en-US"/>
        </w:rPr>
        <w:t xml:space="preserve">there were </w:t>
      </w:r>
      <w:r w:rsidRPr="00351AB5">
        <w:rPr>
          <w:rFonts w:ascii="Cambria" w:hAnsi="Cambria"/>
          <w:lang w:val="en-US"/>
        </w:rPr>
        <w:t>3,804</w:t>
      </w:r>
      <w:r w:rsidR="007E25ED" w:rsidRPr="00351AB5">
        <w:rPr>
          <w:rFonts w:ascii="Cambria" w:hAnsi="Cambria"/>
          <w:lang w:val="en-US"/>
        </w:rPr>
        <w:t xml:space="preserve"> </w:t>
      </w:r>
      <w:r w:rsidR="00351AB5" w:rsidRPr="00351AB5">
        <w:rPr>
          <w:rFonts w:ascii="Cambria" w:hAnsi="Cambria"/>
          <w:lang w:val="en-US"/>
        </w:rPr>
        <w:t xml:space="preserve">people </w:t>
      </w:r>
      <w:r w:rsidR="007E25ED" w:rsidRPr="00351AB5">
        <w:rPr>
          <w:rFonts w:ascii="Cambria" w:hAnsi="Cambria"/>
          <w:lang w:val="en-US"/>
        </w:rPr>
        <w:t>in custody,</w:t>
      </w:r>
      <w:r w:rsidRPr="00351AB5">
        <w:rPr>
          <w:rFonts w:ascii="Cambria" w:hAnsi="Cambria"/>
          <w:lang w:val="en-US"/>
        </w:rPr>
        <w:t xml:space="preserve"> with another 287 on TR</w:t>
      </w:r>
      <w:r w:rsidR="007E25ED" w:rsidRPr="00351AB5">
        <w:rPr>
          <w:rFonts w:ascii="Cambria" w:hAnsi="Cambria"/>
          <w:lang w:val="en-US"/>
        </w:rPr>
        <w:t xml:space="preserve"> (giving a total of 4,091</w:t>
      </w:r>
      <w:r w:rsidRPr="00351AB5">
        <w:rPr>
          <w:rFonts w:ascii="Cambria" w:hAnsi="Cambria"/>
          <w:lang w:val="en-US"/>
        </w:rPr>
        <w:t>)</w:t>
      </w:r>
      <w:r w:rsidR="00437AE7" w:rsidRPr="00351AB5">
        <w:rPr>
          <w:rFonts w:ascii="Cambria" w:hAnsi="Cambria"/>
          <w:lang w:val="en-US"/>
        </w:rPr>
        <w:t>. On</w:t>
      </w:r>
      <w:r w:rsidRPr="00351AB5">
        <w:rPr>
          <w:rFonts w:ascii="Cambria" w:hAnsi="Cambria"/>
          <w:lang w:val="en-US"/>
        </w:rPr>
        <w:t xml:space="preserve"> Wednesday 4 October 2023</w:t>
      </w:r>
      <w:r w:rsidR="00437AE7" w:rsidRPr="00351AB5">
        <w:rPr>
          <w:rFonts w:ascii="Cambria" w:hAnsi="Cambria"/>
          <w:lang w:val="en-US"/>
        </w:rPr>
        <w:t>,</w:t>
      </w:r>
      <w:r w:rsidRPr="00351AB5">
        <w:rPr>
          <w:rFonts w:ascii="Cambria" w:hAnsi="Cambria"/>
          <w:lang w:val="en-US"/>
        </w:rPr>
        <w:t xml:space="preserve"> the respective </w:t>
      </w:r>
      <w:r w:rsidR="00B970B0">
        <w:rPr>
          <w:rFonts w:ascii="Cambria" w:hAnsi="Cambria"/>
          <w:lang w:val="en-US"/>
        </w:rPr>
        <w:t xml:space="preserve">figures </w:t>
      </w:r>
      <w:r w:rsidRPr="00351AB5">
        <w:rPr>
          <w:rFonts w:ascii="Cambria" w:hAnsi="Cambria"/>
          <w:lang w:val="en-US"/>
        </w:rPr>
        <w:t xml:space="preserve">were 4,585 </w:t>
      </w:r>
      <w:r w:rsidR="007E25ED" w:rsidRPr="00351AB5">
        <w:rPr>
          <w:rFonts w:ascii="Cambria" w:hAnsi="Cambria"/>
          <w:lang w:val="en-US"/>
        </w:rPr>
        <w:t xml:space="preserve">and </w:t>
      </w:r>
      <w:r w:rsidRPr="00351AB5">
        <w:rPr>
          <w:rFonts w:ascii="Cambria" w:hAnsi="Cambria"/>
          <w:lang w:val="en-US"/>
        </w:rPr>
        <w:t xml:space="preserve">414 </w:t>
      </w:r>
      <w:r w:rsidR="007E25ED" w:rsidRPr="00351AB5">
        <w:rPr>
          <w:rFonts w:ascii="Cambria" w:hAnsi="Cambria"/>
          <w:lang w:val="en-US"/>
        </w:rPr>
        <w:t>(giving a total of 4,999</w:t>
      </w:r>
      <w:r w:rsidRPr="00351AB5">
        <w:rPr>
          <w:rFonts w:ascii="Cambria" w:hAnsi="Cambria"/>
          <w:lang w:val="en-US"/>
        </w:rPr>
        <w:t>).</w:t>
      </w:r>
      <w:r w:rsidR="00AF7B9F" w:rsidRPr="00351AB5">
        <w:rPr>
          <w:rFonts w:ascii="Cambria" w:hAnsi="Cambria"/>
          <w:lang w:val="en-US"/>
        </w:rPr>
        <w:t xml:space="preserve"> </w:t>
      </w:r>
    </w:p>
  </w:footnote>
  <w:footnote w:id="5">
    <w:p w14:paraId="28DE3B23" w14:textId="25532A3D" w:rsidR="00550818" w:rsidRPr="00351AB5" w:rsidRDefault="00550818" w:rsidP="001D5E21">
      <w:pPr>
        <w:spacing w:after="0" w:line="240" w:lineRule="auto"/>
        <w:ind w:left="-5" w:right="-9"/>
        <w:rPr>
          <w:sz w:val="20"/>
          <w:szCs w:val="20"/>
        </w:rPr>
      </w:pPr>
      <w:r w:rsidRPr="00351AB5">
        <w:rPr>
          <w:rStyle w:val="FootnoteReference"/>
          <w:sz w:val="20"/>
          <w:szCs w:val="20"/>
        </w:rPr>
        <w:footnoteRef/>
      </w:r>
      <w:r w:rsidRPr="00351AB5">
        <w:rPr>
          <w:sz w:val="20"/>
          <w:szCs w:val="20"/>
        </w:rPr>
        <w:t xml:space="preserve"> In 2013 the </w:t>
      </w:r>
      <w:r w:rsidR="0029625E">
        <w:rPr>
          <w:sz w:val="20"/>
          <w:szCs w:val="20"/>
        </w:rPr>
        <w:t xml:space="preserve">daily average number in custody </w:t>
      </w:r>
      <w:r w:rsidRPr="00351AB5">
        <w:rPr>
          <w:sz w:val="20"/>
          <w:szCs w:val="20"/>
        </w:rPr>
        <w:t xml:space="preserve">was 4,158. </w:t>
      </w:r>
      <w:r w:rsidR="0029625E">
        <w:rPr>
          <w:sz w:val="20"/>
          <w:szCs w:val="20"/>
        </w:rPr>
        <w:t xml:space="preserve">A reduction of </w:t>
      </w:r>
      <w:r w:rsidRPr="00351AB5">
        <w:rPr>
          <w:sz w:val="20"/>
          <w:szCs w:val="20"/>
        </w:rPr>
        <w:t xml:space="preserve">one third </w:t>
      </w:r>
      <w:r w:rsidR="0029625E">
        <w:rPr>
          <w:sz w:val="20"/>
          <w:szCs w:val="20"/>
        </w:rPr>
        <w:t>would have brought this down to</w:t>
      </w:r>
      <w:r w:rsidRPr="00351AB5">
        <w:rPr>
          <w:sz w:val="20"/>
          <w:szCs w:val="20"/>
        </w:rPr>
        <w:t xml:space="preserve"> 2,744.</w:t>
      </w:r>
      <w:r w:rsidR="00437AE7" w:rsidRPr="00351AB5">
        <w:rPr>
          <w:sz w:val="20"/>
          <w:szCs w:val="20"/>
        </w:rPr>
        <w:t xml:space="preserve"> </w:t>
      </w:r>
      <w:r w:rsidR="00415F24">
        <w:rPr>
          <w:sz w:val="20"/>
          <w:szCs w:val="20"/>
        </w:rPr>
        <w:t xml:space="preserve">The </w:t>
      </w:r>
      <w:r w:rsidR="0029625E">
        <w:rPr>
          <w:sz w:val="20"/>
          <w:szCs w:val="20"/>
        </w:rPr>
        <w:t xml:space="preserve">imprisonment </w:t>
      </w:r>
      <w:r w:rsidR="00415F24">
        <w:rPr>
          <w:sz w:val="20"/>
          <w:szCs w:val="20"/>
        </w:rPr>
        <w:t xml:space="preserve">rate </w:t>
      </w:r>
      <w:r w:rsidR="0029625E">
        <w:rPr>
          <w:sz w:val="20"/>
          <w:szCs w:val="20"/>
        </w:rPr>
        <w:t xml:space="preserve">per 100,000 population </w:t>
      </w:r>
      <w:r w:rsidR="00415F24">
        <w:rPr>
          <w:sz w:val="20"/>
          <w:szCs w:val="20"/>
        </w:rPr>
        <w:t>was 91 i</w:t>
      </w:r>
      <w:r w:rsidR="0029625E">
        <w:rPr>
          <w:sz w:val="20"/>
          <w:szCs w:val="20"/>
        </w:rPr>
        <w:t xml:space="preserve">n </w:t>
      </w:r>
      <w:r w:rsidRPr="00351AB5">
        <w:rPr>
          <w:sz w:val="20"/>
          <w:szCs w:val="20"/>
        </w:rPr>
        <w:t xml:space="preserve">2013 (based on </w:t>
      </w:r>
      <w:r w:rsidR="00B970B0">
        <w:rPr>
          <w:sz w:val="20"/>
          <w:szCs w:val="20"/>
        </w:rPr>
        <w:t xml:space="preserve">an estimated </w:t>
      </w:r>
      <w:r w:rsidRPr="00351AB5">
        <w:rPr>
          <w:sz w:val="20"/>
          <w:szCs w:val="20"/>
        </w:rPr>
        <w:t>population of 4,593,100)</w:t>
      </w:r>
      <w:r w:rsidR="00415F24">
        <w:rPr>
          <w:sz w:val="20"/>
          <w:szCs w:val="20"/>
        </w:rPr>
        <w:t>. A one-third reduction would have brought this to 60. In 2023 it stood at</w:t>
      </w:r>
      <w:r w:rsidR="0029625E">
        <w:rPr>
          <w:sz w:val="20"/>
          <w:szCs w:val="20"/>
        </w:rPr>
        <w:t xml:space="preserve"> </w:t>
      </w:r>
      <w:r w:rsidR="00415F24">
        <w:rPr>
          <w:sz w:val="20"/>
          <w:szCs w:val="20"/>
        </w:rPr>
        <w:t xml:space="preserve">87 </w:t>
      </w:r>
      <w:r w:rsidRPr="00351AB5">
        <w:rPr>
          <w:sz w:val="20"/>
          <w:szCs w:val="20"/>
        </w:rPr>
        <w:t xml:space="preserve">(based on </w:t>
      </w:r>
      <w:r w:rsidR="00B970B0">
        <w:rPr>
          <w:sz w:val="20"/>
          <w:szCs w:val="20"/>
        </w:rPr>
        <w:t xml:space="preserve">an estimated </w:t>
      </w:r>
      <w:r w:rsidRPr="00351AB5">
        <w:rPr>
          <w:sz w:val="20"/>
          <w:szCs w:val="20"/>
        </w:rPr>
        <w:t>population of 5,281,600)</w:t>
      </w:r>
      <w:r w:rsidR="00437AE7" w:rsidRPr="00351AB5">
        <w:rPr>
          <w:sz w:val="20"/>
          <w:szCs w:val="20"/>
        </w:rPr>
        <w:t>.</w:t>
      </w:r>
      <w:r w:rsidRPr="00351AB5">
        <w:rPr>
          <w:sz w:val="20"/>
          <w:szCs w:val="20"/>
        </w:rPr>
        <w:t xml:space="preserve"> </w:t>
      </w:r>
    </w:p>
  </w:footnote>
  <w:footnote w:id="6">
    <w:p w14:paraId="6562E94A" w14:textId="513F3ED0" w:rsidR="004E1B9F" w:rsidRPr="00351AB5" w:rsidRDefault="004E1B9F" w:rsidP="004E1B9F">
      <w:pPr>
        <w:pStyle w:val="FootnoteText"/>
        <w:rPr>
          <w:rFonts w:ascii="Cambria" w:hAnsi="Cambria" w:cs="Arial"/>
          <w:lang w:val="en-US"/>
        </w:rPr>
      </w:pPr>
      <w:r w:rsidRPr="00351AB5">
        <w:rPr>
          <w:rStyle w:val="FootnoteReference"/>
          <w:rFonts w:ascii="Cambria" w:hAnsi="Cambria" w:cs="Arial"/>
        </w:rPr>
        <w:footnoteRef/>
      </w:r>
      <w:r w:rsidRPr="00351AB5">
        <w:rPr>
          <w:rFonts w:ascii="Cambria" w:hAnsi="Cambria" w:cs="Arial"/>
        </w:rPr>
        <w:t xml:space="preserve"> Irish Prison Service</w:t>
      </w:r>
      <w:r w:rsidR="001875D1">
        <w:rPr>
          <w:rFonts w:ascii="Cambria" w:hAnsi="Cambria" w:cs="Arial"/>
        </w:rPr>
        <w:t xml:space="preserve"> (2022)</w:t>
      </w:r>
      <w:r w:rsidRPr="00351AB5">
        <w:rPr>
          <w:rFonts w:ascii="Cambria" w:hAnsi="Cambria" w:cs="Arial"/>
        </w:rPr>
        <w:t>,</w:t>
      </w:r>
      <w:r w:rsidRPr="00351AB5">
        <w:rPr>
          <w:rFonts w:ascii="Cambria" w:hAnsi="Cambria" w:cs="Arial"/>
          <w:i/>
          <w:iCs/>
        </w:rPr>
        <w:t xml:space="preserve"> </w:t>
      </w:r>
      <w:r w:rsidRPr="00351AB5">
        <w:rPr>
          <w:rFonts w:ascii="Cambria" w:hAnsi="Cambria" w:cs="Arial"/>
          <w:i/>
          <w:iCs/>
          <w:lang w:val="en-US"/>
        </w:rPr>
        <w:t>Annual Report 2021</w:t>
      </w:r>
      <w:r w:rsidRPr="00351AB5">
        <w:rPr>
          <w:rFonts w:ascii="Cambria" w:hAnsi="Cambria" w:cs="Arial"/>
          <w:lang w:val="en-US"/>
        </w:rPr>
        <w:t>, at 38.</w:t>
      </w:r>
    </w:p>
  </w:footnote>
  <w:footnote w:id="7">
    <w:p w14:paraId="5E8DCE37" w14:textId="54393FA6" w:rsidR="001D79BD" w:rsidRPr="00351AB5" w:rsidRDefault="001D79BD">
      <w:pPr>
        <w:pStyle w:val="FootnoteText"/>
        <w:rPr>
          <w:rFonts w:ascii="Cambria" w:hAnsi="Cambria"/>
          <w:lang w:val="en-US"/>
        </w:rPr>
      </w:pPr>
      <w:r w:rsidRPr="00351AB5">
        <w:rPr>
          <w:rStyle w:val="FootnoteReference"/>
          <w:rFonts w:ascii="Cambria" w:hAnsi="Cambria"/>
        </w:rPr>
        <w:footnoteRef/>
      </w:r>
      <w:r w:rsidRPr="00351AB5">
        <w:rPr>
          <w:rFonts w:ascii="Cambria" w:hAnsi="Cambria"/>
        </w:rPr>
        <w:t xml:space="preserve"> </w:t>
      </w:r>
      <w:r w:rsidRPr="00351AB5">
        <w:rPr>
          <w:rFonts w:ascii="Cambria" w:hAnsi="Cambria" w:cs="Arial"/>
        </w:rPr>
        <w:t>For sentences longer than one month, remission is applied, further reducing the time served.</w:t>
      </w:r>
    </w:p>
  </w:footnote>
  <w:footnote w:id="8">
    <w:p w14:paraId="4F203376" w14:textId="7B3895D7" w:rsidR="00F94E27" w:rsidRPr="00351AB5" w:rsidRDefault="00F94E27" w:rsidP="00F94E27">
      <w:pPr>
        <w:pStyle w:val="FootnoteText"/>
        <w:rPr>
          <w:rFonts w:ascii="Cambria" w:hAnsi="Cambria" w:cs="Arial"/>
          <w:lang w:val="en-US"/>
        </w:rPr>
      </w:pPr>
      <w:r w:rsidRPr="00351AB5">
        <w:rPr>
          <w:rStyle w:val="FootnoteReference"/>
          <w:rFonts w:ascii="Cambria" w:hAnsi="Cambria" w:cs="Arial"/>
        </w:rPr>
        <w:footnoteRef/>
      </w:r>
      <w:r w:rsidRPr="00351AB5">
        <w:rPr>
          <w:rFonts w:ascii="Cambria" w:hAnsi="Cambria" w:cs="Arial"/>
        </w:rPr>
        <w:t xml:space="preserve"> Ian O’Donnell (2020) </w:t>
      </w:r>
      <w:r w:rsidRPr="00351AB5">
        <w:rPr>
          <w:rFonts w:ascii="Cambria" w:hAnsi="Cambria" w:cs="Arial"/>
          <w:i/>
          <w:iCs/>
        </w:rPr>
        <w:t>An Evidence Review of Recidivism and Policy Responses</w:t>
      </w:r>
      <w:r w:rsidRPr="00351AB5">
        <w:rPr>
          <w:rFonts w:ascii="Cambria" w:hAnsi="Cambria" w:cs="Arial"/>
        </w:rPr>
        <w:t xml:space="preserve">, </w:t>
      </w:r>
      <w:r w:rsidRPr="00351AB5">
        <w:rPr>
          <w:rFonts w:ascii="Cambria" w:hAnsi="Cambria" w:cs="Arial"/>
          <w:lang w:val="en-US"/>
        </w:rPr>
        <w:t>at 93.</w:t>
      </w:r>
    </w:p>
  </w:footnote>
  <w:footnote w:id="9">
    <w:p w14:paraId="5192A91F" w14:textId="201E1333" w:rsidR="00F94E27" w:rsidRPr="00351AB5" w:rsidRDefault="00F94E27" w:rsidP="00F94E27">
      <w:pPr>
        <w:spacing w:after="0" w:line="240" w:lineRule="auto"/>
        <w:rPr>
          <w:rFonts w:cs="Arial"/>
          <w:sz w:val="20"/>
          <w:szCs w:val="20"/>
        </w:rPr>
      </w:pPr>
      <w:r w:rsidRPr="00351AB5">
        <w:rPr>
          <w:rStyle w:val="FootnoteReference"/>
          <w:sz w:val="20"/>
          <w:szCs w:val="20"/>
        </w:rPr>
        <w:footnoteRef/>
      </w:r>
      <w:r w:rsidRPr="00351AB5">
        <w:rPr>
          <w:sz w:val="20"/>
          <w:szCs w:val="20"/>
        </w:rPr>
        <w:t xml:space="preserve"> </w:t>
      </w:r>
      <w:r w:rsidRPr="00351AB5">
        <w:rPr>
          <w:rFonts w:cs="Arial"/>
          <w:sz w:val="20"/>
          <w:szCs w:val="20"/>
        </w:rPr>
        <w:t>The Criminal Justice (Community Service) (Amendment) Act 2011</w:t>
      </w:r>
      <w:r w:rsidR="001D79BD" w:rsidRPr="00351AB5">
        <w:rPr>
          <w:rFonts w:cs="Arial"/>
          <w:i/>
          <w:iCs/>
          <w:sz w:val="20"/>
          <w:szCs w:val="20"/>
        </w:rPr>
        <w:t xml:space="preserve"> </w:t>
      </w:r>
      <w:r w:rsidRPr="00351AB5">
        <w:rPr>
          <w:rFonts w:cs="Arial"/>
          <w:sz w:val="20"/>
          <w:szCs w:val="20"/>
        </w:rPr>
        <w:t>requires court</w:t>
      </w:r>
      <w:r w:rsidR="000B3739" w:rsidRPr="00351AB5">
        <w:rPr>
          <w:rFonts w:cs="Arial"/>
          <w:sz w:val="20"/>
          <w:szCs w:val="20"/>
        </w:rPr>
        <w:t>s</w:t>
      </w:r>
      <w:r w:rsidRPr="00351AB5">
        <w:rPr>
          <w:rFonts w:cs="Arial"/>
          <w:sz w:val="20"/>
          <w:szCs w:val="20"/>
        </w:rPr>
        <w:t xml:space="preserve"> to consider community service instead of imprisonment for an offence that would attract a sentence of 12 months or less. The Department of Justice </w:t>
      </w:r>
      <w:r w:rsidR="002B6FE8">
        <w:rPr>
          <w:rFonts w:cs="Arial"/>
          <w:sz w:val="20"/>
          <w:szCs w:val="20"/>
        </w:rPr>
        <w:t xml:space="preserve">recently </w:t>
      </w:r>
      <w:r w:rsidRPr="00351AB5">
        <w:rPr>
          <w:rFonts w:cs="Arial"/>
          <w:sz w:val="20"/>
          <w:szCs w:val="20"/>
        </w:rPr>
        <w:t>invited tenders for research “to identify the impact of the 2011 Act in terms of custodial sentences and community service, and to examine causes for the continued use of short custodial sentences of 12 months or less, and the possible underutilisation of community service orders”. Hopefully the findings of this research will be available soon.</w:t>
      </w:r>
    </w:p>
  </w:footnote>
  <w:footnote w:id="10">
    <w:p w14:paraId="4616526D" w14:textId="6BB51B7D" w:rsidR="00E23DD9" w:rsidRPr="00E23DD9" w:rsidRDefault="00E23DD9">
      <w:pPr>
        <w:pStyle w:val="FootnoteText"/>
        <w:rPr>
          <w:rFonts w:ascii="Cambria" w:hAnsi="Cambria"/>
          <w:lang w:val="en-US"/>
        </w:rPr>
      </w:pPr>
      <w:r w:rsidRPr="00E23DD9">
        <w:rPr>
          <w:rStyle w:val="FootnoteReference"/>
          <w:rFonts w:ascii="Cambria" w:hAnsi="Cambria"/>
        </w:rPr>
        <w:footnoteRef/>
      </w:r>
      <w:r w:rsidRPr="00E23DD9">
        <w:rPr>
          <w:rFonts w:ascii="Cambria" w:hAnsi="Cambria"/>
        </w:rPr>
        <w:t xml:space="preserve"> </w:t>
      </w:r>
      <w:hyperlink r:id="rId1" w:history="1">
        <w:r w:rsidRPr="00E23DD9">
          <w:rPr>
            <w:rStyle w:val="Hyperlink"/>
            <w:rFonts w:ascii="Cambria" w:hAnsi="Cambria"/>
          </w:rPr>
          <w:t>https://www.prisonstudies.org/country/norway</w:t>
        </w:r>
      </w:hyperlink>
      <w:r w:rsidRPr="00E23DD9">
        <w:rPr>
          <w:rFonts w:ascii="Cambria" w:hAnsi="Cambria"/>
        </w:rPr>
        <w:t>; site accessed 12 October 2023.</w:t>
      </w:r>
      <w:r>
        <w:rPr>
          <w:rFonts w:ascii="Cambria" w:hAnsi="Cambria"/>
        </w:rPr>
        <w:t xml:space="preserve"> In </w:t>
      </w:r>
      <w:r w:rsidR="00151939">
        <w:rPr>
          <w:rFonts w:ascii="Cambria" w:hAnsi="Cambria"/>
        </w:rPr>
        <w:t xml:space="preserve">Norway there are 58 establishments for </w:t>
      </w:r>
      <w:r w:rsidR="006A1C03">
        <w:rPr>
          <w:rFonts w:ascii="Cambria" w:hAnsi="Cambria"/>
        </w:rPr>
        <w:t>less than</w:t>
      </w:r>
      <w:r w:rsidR="00151939">
        <w:rPr>
          <w:rFonts w:ascii="Cambria" w:hAnsi="Cambria"/>
        </w:rPr>
        <w:t xml:space="preserve"> 3,000 prisoners and in </w:t>
      </w:r>
      <w:r>
        <w:rPr>
          <w:rFonts w:ascii="Cambria" w:hAnsi="Cambria"/>
        </w:rPr>
        <w:t>Denmark</w:t>
      </w:r>
      <w:r w:rsidR="00151939">
        <w:rPr>
          <w:rFonts w:ascii="Cambria" w:hAnsi="Cambria"/>
        </w:rPr>
        <w:t xml:space="preserve"> the respective figures </w:t>
      </w:r>
      <w:r>
        <w:rPr>
          <w:rFonts w:ascii="Cambria" w:hAnsi="Cambria"/>
        </w:rPr>
        <w:t>are 54</w:t>
      </w:r>
      <w:r w:rsidR="00151939">
        <w:rPr>
          <w:rFonts w:ascii="Cambria" w:hAnsi="Cambria"/>
        </w:rPr>
        <w:t xml:space="preserve"> and</w:t>
      </w:r>
      <w:r>
        <w:rPr>
          <w:rFonts w:ascii="Cambria" w:hAnsi="Cambria"/>
        </w:rPr>
        <w:t xml:space="preserve"> 4,100.</w:t>
      </w:r>
    </w:p>
  </w:footnote>
  <w:footnote w:id="11">
    <w:p w14:paraId="618C9D99" w14:textId="2A84701B" w:rsidR="001D5E21" w:rsidRPr="004E31DE" w:rsidRDefault="001D5E21" w:rsidP="001D5E21">
      <w:pPr>
        <w:spacing w:after="0" w:line="240" w:lineRule="auto"/>
        <w:ind w:left="-5" w:right="-9"/>
        <w:rPr>
          <w:rFonts w:cstheme="minorHAnsi"/>
          <w:sz w:val="20"/>
          <w:szCs w:val="20"/>
        </w:rPr>
      </w:pPr>
      <w:r w:rsidRPr="004E31DE">
        <w:rPr>
          <w:rStyle w:val="FootnoteReference"/>
          <w:rFonts w:cstheme="minorHAnsi"/>
          <w:sz w:val="20"/>
          <w:szCs w:val="20"/>
        </w:rPr>
        <w:footnoteRef/>
      </w:r>
      <w:r w:rsidRPr="004E31DE">
        <w:rPr>
          <w:rFonts w:cstheme="minorHAnsi"/>
          <w:sz w:val="20"/>
          <w:szCs w:val="20"/>
        </w:rPr>
        <w:t xml:space="preserve"> </w:t>
      </w:r>
      <w:r w:rsidR="00BA57B7" w:rsidRPr="004E31DE">
        <w:rPr>
          <w:rFonts w:cstheme="minorHAnsi"/>
          <w:sz w:val="20"/>
          <w:szCs w:val="20"/>
        </w:rPr>
        <w:t xml:space="preserve">Ian </w:t>
      </w:r>
      <w:r w:rsidRPr="004E31DE">
        <w:rPr>
          <w:rFonts w:cstheme="minorHAnsi"/>
          <w:sz w:val="20"/>
          <w:szCs w:val="20"/>
        </w:rPr>
        <w:t>O'Donnell</w:t>
      </w:r>
      <w:r w:rsidR="00437AE7" w:rsidRPr="004E31DE">
        <w:rPr>
          <w:rFonts w:cstheme="minorHAnsi"/>
          <w:sz w:val="20"/>
          <w:szCs w:val="20"/>
        </w:rPr>
        <w:t xml:space="preserve"> (2013)</w:t>
      </w:r>
      <w:r w:rsidRPr="004E31DE">
        <w:rPr>
          <w:rFonts w:cstheme="minorHAnsi"/>
          <w:sz w:val="20"/>
          <w:szCs w:val="20"/>
        </w:rPr>
        <w:t xml:space="preserve"> </w:t>
      </w:r>
      <w:r w:rsidR="001875D1" w:rsidRPr="004E31DE">
        <w:rPr>
          <w:rFonts w:cstheme="minorHAnsi"/>
          <w:sz w:val="20"/>
          <w:szCs w:val="20"/>
        </w:rPr>
        <w:t>‘</w:t>
      </w:r>
      <w:r w:rsidRPr="004E31DE">
        <w:rPr>
          <w:rFonts w:cstheme="minorHAnsi"/>
          <w:sz w:val="20"/>
          <w:szCs w:val="20"/>
        </w:rPr>
        <w:t>Making progress with penal reform</w:t>
      </w:r>
      <w:r w:rsidR="001875D1" w:rsidRPr="004E31DE">
        <w:rPr>
          <w:rFonts w:cstheme="minorHAnsi"/>
          <w:sz w:val="20"/>
          <w:szCs w:val="20"/>
        </w:rPr>
        <w:t>’</w:t>
      </w:r>
      <w:r w:rsidRPr="004E31DE">
        <w:rPr>
          <w:rFonts w:cstheme="minorHAnsi"/>
          <w:sz w:val="20"/>
          <w:szCs w:val="20"/>
        </w:rPr>
        <w:t xml:space="preserve">, </w:t>
      </w:r>
      <w:r w:rsidRPr="004E31DE">
        <w:rPr>
          <w:rFonts w:cstheme="minorHAnsi"/>
          <w:i/>
          <w:iCs/>
          <w:sz w:val="20"/>
          <w:szCs w:val="20"/>
        </w:rPr>
        <w:t>Irish Criminal Law Journal</w:t>
      </w:r>
      <w:r w:rsidRPr="004E31DE">
        <w:rPr>
          <w:rFonts w:cstheme="minorHAnsi"/>
          <w:sz w:val="20"/>
          <w:szCs w:val="20"/>
        </w:rPr>
        <w:t>, 23(3)</w:t>
      </w:r>
      <w:r w:rsidR="00BA57B7" w:rsidRPr="004E31DE">
        <w:rPr>
          <w:rFonts w:cstheme="minorHAnsi"/>
          <w:sz w:val="20"/>
          <w:szCs w:val="20"/>
        </w:rPr>
        <w:t xml:space="preserve"> at 68</w:t>
      </w:r>
      <w:r w:rsidRPr="004E31DE">
        <w:rPr>
          <w:rFonts w:cstheme="minorHAnsi"/>
          <w:sz w:val="20"/>
          <w:szCs w:val="20"/>
        </w:rPr>
        <w:t>.</w:t>
      </w:r>
    </w:p>
  </w:footnote>
  <w:footnote w:id="12">
    <w:p w14:paraId="2A803C5A" w14:textId="37F1AE23" w:rsidR="002B6FE8" w:rsidRPr="004E31DE" w:rsidRDefault="002B6FE8">
      <w:pPr>
        <w:pStyle w:val="FootnoteText"/>
        <w:rPr>
          <w:rFonts w:ascii="Cambria" w:hAnsi="Cambria" w:cstheme="minorHAnsi"/>
          <w:lang w:val="en-US"/>
        </w:rPr>
      </w:pPr>
      <w:r w:rsidRPr="004E31DE">
        <w:rPr>
          <w:rStyle w:val="FootnoteReference"/>
          <w:rFonts w:ascii="Cambria" w:hAnsi="Cambria" w:cstheme="minorHAnsi"/>
        </w:rPr>
        <w:footnoteRef/>
      </w:r>
      <w:r w:rsidRPr="004E31DE">
        <w:rPr>
          <w:rFonts w:ascii="Cambria" w:hAnsi="Cambria" w:cstheme="minorHAnsi"/>
        </w:rPr>
        <w:t xml:space="preserve"> </w:t>
      </w:r>
      <w:r w:rsidR="004E31DE" w:rsidRPr="004E31DE">
        <w:rPr>
          <w:rFonts w:ascii="Cambria" w:hAnsi="Cambria" w:cstheme="minorHAnsi"/>
        </w:rPr>
        <w:t xml:space="preserve">For </w:t>
      </w:r>
      <w:r w:rsidR="004A1E77">
        <w:rPr>
          <w:rFonts w:ascii="Cambria" w:hAnsi="Cambria" w:cstheme="minorHAnsi"/>
        </w:rPr>
        <w:t>an early argument in favour of such a change of direction, see</w:t>
      </w:r>
      <w:r w:rsidR="004E31DE" w:rsidRPr="004E31DE">
        <w:rPr>
          <w:rFonts w:ascii="Cambria" w:hAnsi="Cambria" w:cstheme="minorHAnsi"/>
        </w:rPr>
        <w:t xml:space="preserve"> Ian O’Donnell (1998) ‘Challenging the punitive obsession’, </w:t>
      </w:r>
      <w:r w:rsidR="004E31DE" w:rsidRPr="004E31DE">
        <w:rPr>
          <w:rFonts w:ascii="Cambria" w:hAnsi="Cambria" w:cstheme="minorHAnsi"/>
          <w:i/>
          <w:iCs/>
        </w:rPr>
        <w:t>Irish Criminal Law Journal</w:t>
      </w:r>
      <w:r w:rsidR="004E31DE" w:rsidRPr="004E31DE">
        <w:rPr>
          <w:rFonts w:ascii="Cambria" w:hAnsi="Cambria" w:cstheme="minorHAnsi"/>
        </w:rPr>
        <w:t>, 8</w:t>
      </w:r>
      <w:r w:rsidR="004E31DE">
        <w:rPr>
          <w:rFonts w:ascii="Cambria" w:hAnsi="Cambria" w:cstheme="minorHAnsi"/>
        </w:rPr>
        <w:t>(1)</w:t>
      </w:r>
      <w:r w:rsidR="004E31DE" w:rsidRPr="004E31DE">
        <w:rPr>
          <w:rFonts w:ascii="Cambria" w:hAnsi="Cambria" w:cstheme="minorHAnsi"/>
        </w:rPr>
        <w:t>:</w:t>
      </w:r>
      <w:r w:rsidR="004E31DE">
        <w:rPr>
          <w:rFonts w:ascii="Cambria" w:hAnsi="Cambria" w:cstheme="minorHAnsi"/>
        </w:rPr>
        <w:t xml:space="preserve"> </w:t>
      </w:r>
      <w:r w:rsidR="004E31DE" w:rsidRPr="004E31DE">
        <w:rPr>
          <w:rFonts w:ascii="Cambria" w:hAnsi="Cambria" w:cstheme="minorHAnsi"/>
        </w:rPr>
        <w:t>51-66.</w:t>
      </w:r>
    </w:p>
  </w:footnote>
  <w:footnote w:id="13">
    <w:p w14:paraId="12AFCA07" w14:textId="77777777" w:rsidR="00F04958" w:rsidRPr="00351AB5" w:rsidRDefault="00F04958" w:rsidP="00F04958">
      <w:pPr>
        <w:pStyle w:val="FootnoteText"/>
        <w:rPr>
          <w:rFonts w:ascii="Cambria" w:hAnsi="Cambria" w:cs="Arial"/>
          <w:lang w:val="en-US"/>
        </w:rPr>
      </w:pPr>
      <w:r w:rsidRPr="00351AB5">
        <w:rPr>
          <w:rStyle w:val="FootnoteReference"/>
          <w:rFonts w:ascii="Cambria" w:hAnsi="Cambria" w:cs="Arial"/>
        </w:rPr>
        <w:footnoteRef/>
      </w:r>
      <w:r w:rsidRPr="00351AB5">
        <w:rPr>
          <w:rFonts w:ascii="Cambria" w:hAnsi="Cambria" w:cs="Arial"/>
        </w:rPr>
        <w:t xml:space="preserve"> National Commission on Restorative Justice (2009) </w:t>
      </w:r>
      <w:r w:rsidRPr="00351AB5">
        <w:rPr>
          <w:rFonts w:ascii="Cambria" w:hAnsi="Cambria" w:cs="Arial"/>
          <w:i/>
          <w:iCs/>
        </w:rPr>
        <w:t>Final Report</w:t>
      </w:r>
      <w:r w:rsidRPr="00351AB5">
        <w:rPr>
          <w:rFonts w:ascii="Cambria" w:hAnsi="Cambria" w:cs="Arial"/>
        </w:rPr>
        <w:t>, a</w:t>
      </w:r>
      <w:r w:rsidRPr="00351AB5">
        <w:rPr>
          <w:rFonts w:ascii="Cambria" w:hAnsi="Cambria" w:cs="Arial"/>
          <w:lang w:val="en-US"/>
        </w:rPr>
        <w:t>t 20-25.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253B"/>
    <w:multiLevelType w:val="hybridMultilevel"/>
    <w:tmpl w:val="F9967F02"/>
    <w:lvl w:ilvl="0" w:tplc="05EEF946">
      <w:start w:val="1"/>
      <w:numFmt w:val="decimal"/>
      <w:lvlText w:val="%1."/>
      <w:lvlJc w:val="left"/>
      <w:pPr>
        <w:ind w:left="7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E00D098">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9DAFEA2">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0484446">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91C74AA">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4B8E858">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BC47132">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76E2BE8">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9A2AA8">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7641E0"/>
    <w:multiLevelType w:val="hybridMultilevel"/>
    <w:tmpl w:val="01707520"/>
    <w:lvl w:ilvl="0" w:tplc="CA8A8DE4">
      <w:start w:val="1"/>
      <w:numFmt w:val="decimal"/>
      <w:lvlText w:val="%1."/>
      <w:lvlJc w:val="left"/>
      <w:pPr>
        <w:ind w:left="345" w:hanging="360"/>
      </w:pPr>
      <w:rPr>
        <w:rFonts w:hint="default"/>
      </w:rPr>
    </w:lvl>
    <w:lvl w:ilvl="1" w:tplc="18090019" w:tentative="1">
      <w:start w:val="1"/>
      <w:numFmt w:val="lowerLetter"/>
      <w:lvlText w:val="%2."/>
      <w:lvlJc w:val="left"/>
      <w:pPr>
        <w:ind w:left="1065" w:hanging="360"/>
      </w:pPr>
    </w:lvl>
    <w:lvl w:ilvl="2" w:tplc="1809001B" w:tentative="1">
      <w:start w:val="1"/>
      <w:numFmt w:val="lowerRoman"/>
      <w:lvlText w:val="%3."/>
      <w:lvlJc w:val="right"/>
      <w:pPr>
        <w:ind w:left="1785" w:hanging="180"/>
      </w:pPr>
    </w:lvl>
    <w:lvl w:ilvl="3" w:tplc="1809000F" w:tentative="1">
      <w:start w:val="1"/>
      <w:numFmt w:val="decimal"/>
      <w:lvlText w:val="%4."/>
      <w:lvlJc w:val="left"/>
      <w:pPr>
        <w:ind w:left="2505" w:hanging="360"/>
      </w:pPr>
    </w:lvl>
    <w:lvl w:ilvl="4" w:tplc="18090019" w:tentative="1">
      <w:start w:val="1"/>
      <w:numFmt w:val="lowerLetter"/>
      <w:lvlText w:val="%5."/>
      <w:lvlJc w:val="left"/>
      <w:pPr>
        <w:ind w:left="3225" w:hanging="360"/>
      </w:pPr>
    </w:lvl>
    <w:lvl w:ilvl="5" w:tplc="1809001B" w:tentative="1">
      <w:start w:val="1"/>
      <w:numFmt w:val="lowerRoman"/>
      <w:lvlText w:val="%6."/>
      <w:lvlJc w:val="right"/>
      <w:pPr>
        <w:ind w:left="3945" w:hanging="180"/>
      </w:pPr>
    </w:lvl>
    <w:lvl w:ilvl="6" w:tplc="1809000F" w:tentative="1">
      <w:start w:val="1"/>
      <w:numFmt w:val="decimal"/>
      <w:lvlText w:val="%7."/>
      <w:lvlJc w:val="left"/>
      <w:pPr>
        <w:ind w:left="4665" w:hanging="360"/>
      </w:pPr>
    </w:lvl>
    <w:lvl w:ilvl="7" w:tplc="18090019" w:tentative="1">
      <w:start w:val="1"/>
      <w:numFmt w:val="lowerLetter"/>
      <w:lvlText w:val="%8."/>
      <w:lvlJc w:val="left"/>
      <w:pPr>
        <w:ind w:left="5385" w:hanging="360"/>
      </w:pPr>
    </w:lvl>
    <w:lvl w:ilvl="8" w:tplc="1809001B" w:tentative="1">
      <w:start w:val="1"/>
      <w:numFmt w:val="lowerRoman"/>
      <w:lvlText w:val="%9."/>
      <w:lvlJc w:val="right"/>
      <w:pPr>
        <w:ind w:left="6105" w:hanging="180"/>
      </w:pPr>
    </w:lvl>
  </w:abstractNum>
  <w:abstractNum w:abstractNumId="2" w15:restartNumberingAfterBreak="0">
    <w:nsid w:val="536B7791"/>
    <w:multiLevelType w:val="hybridMultilevel"/>
    <w:tmpl w:val="AAC030D4"/>
    <w:lvl w:ilvl="0" w:tplc="AF0044D2">
      <w:start w:val="1"/>
      <w:numFmt w:val="lowerRoman"/>
      <w:pStyle w:val="Heading1"/>
      <w:lvlText w:val="%1)"/>
      <w:lvlJc w:val="left"/>
      <w:pPr>
        <w:ind w:left="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1" w:tplc="77FA35D2">
      <w:start w:val="1"/>
      <w:numFmt w:val="lowerLetter"/>
      <w:lvlText w:val="%2"/>
      <w:lvlJc w:val="left"/>
      <w:pPr>
        <w:ind w:left="144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2" w:tplc="0734BFFC">
      <w:start w:val="1"/>
      <w:numFmt w:val="lowerRoman"/>
      <w:lvlText w:val="%3"/>
      <w:lvlJc w:val="left"/>
      <w:pPr>
        <w:ind w:left="216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3" w:tplc="E1B455A8">
      <w:start w:val="1"/>
      <w:numFmt w:val="decimal"/>
      <w:lvlText w:val="%4"/>
      <w:lvlJc w:val="left"/>
      <w:pPr>
        <w:ind w:left="288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4" w:tplc="79842F9A">
      <w:start w:val="1"/>
      <w:numFmt w:val="lowerLetter"/>
      <w:lvlText w:val="%5"/>
      <w:lvlJc w:val="left"/>
      <w:pPr>
        <w:ind w:left="360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5" w:tplc="ABA8F5A4">
      <w:start w:val="1"/>
      <w:numFmt w:val="lowerRoman"/>
      <w:lvlText w:val="%6"/>
      <w:lvlJc w:val="left"/>
      <w:pPr>
        <w:ind w:left="432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6" w:tplc="2E606E00">
      <w:start w:val="1"/>
      <w:numFmt w:val="decimal"/>
      <w:lvlText w:val="%7"/>
      <w:lvlJc w:val="left"/>
      <w:pPr>
        <w:ind w:left="504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7" w:tplc="519E6AB2">
      <w:start w:val="1"/>
      <w:numFmt w:val="lowerLetter"/>
      <w:lvlText w:val="%8"/>
      <w:lvlJc w:val="left"/>
      <w:pPr>
        <w:ind w:left="576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8" w:tplc="AB44D3A2">
      <w:start w:val="1"/>
      <w:numFmt w:val="lowerRoman"/>
      <w:lvlText w:val="%9"/>
      <w:lvlJc w:val="left"/>
      <w:pPr>
        <w:ind w:left="648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abstractNum>
  <w:num w:numId="1" w16cid:durableId="423385026">
    <w:abstractNumId w:val="0"/>
  </w:num>
  <w:num w:numId="2" w16cid:durableId="1543982585">
    <w:abstractNumId w:val="2"/>
  </w:num>
  <w:num w:numId="3" w16cid:durableId="1217275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0AE"/>
    <w:rsid w:val="0000774B"/>
    <w:rsid w:val="00013D8A"/>
    <w:rsid w:val="000B3739"/>
    <w:rsid w:val="000E6DCB"/>
    <w:rsid w:val="00151939"/>
    <w:rsid w:val="00166DFA"/>
    <w:rsid w:val="001875D1"/>
    <w:rsid w:val="001D5E21"/>
    <w:rsid w:val="001D79BD"/>
    <w:rsid w:val="002751D5"/>
    <w:rsid w:val="0029625E"/>
    <w:rsid w:val="002A5F48"/>
    <w:rsid w:val="002B6FE8"/>
    <w:rsid w:val="002D7679"/>
    <w:rsid w:val="00302856"/>
    <w:rsid w:val="00351AB5"/>
    <w:rsid w:val="00377F6E"/>
    <w:rsid w:val="00393C02"/>
    <w:rsid w:val="003D7034"/>
    <w:rsid w:val="00415F24"/>
    <w:rsid w:val="00434213"/>
    <w:rsid w:val="00437AE7"/>
    <w:rsid w:val="00450401"/>
    <w:rsid w:val="0045105A"/>
    <w:rsid w:val="004A1E77"/>
    <w:rsid w:val="004E1B9F"/>
    <w:rsid w:val="004E31DE"/>
    <w:rsid w:val="00545262"/>
    <w:rsid w:val="00545E99"/>
    <w:rsid w:val="00550818"/>
    <w:rsid w:val="005578B3"/>
    <w:rsid w:val="00587827"/>
    <w:rsid w:val="00632DC4"/>
    <w:rsid w:val="006A1C03"/>
    <w:rsid w:val="006C12B2"/>
    <w:rsid w:val="0070654E"/>
    <w:rsid w:val="00770997"/>
    <w:rsid w:val="007A532A"/>
    <w:rsid w:val="007E25ED"/>
    <w:rsid w:val="007F576C"/>
    <w:rsid w:val="008147AC"/>
    <w:rsid w:val="008300EC"/>
    <w:rsid w:val="00833693"/>
    <w:rsid w:val="008813A2"/>
    <w:rsid w:val="008C3E1C"/>
    <w:rsid w:val="0092249C"/>
    <w:rsid w:val="00940322"/>
    <w:rsid w:val="00947AFD"/>
    <w:rsid w:val="0098064E"/>
    <w:rsid w:val="009C0AC9"/>
    <w:rsid w:val="00A17D6A"/>
    <w:rsid w:val="00A377CC"/>
    <w:rsid w:val="00A42A79"/>
    <w:rsid w:val="00AB6254"/>
    <w:rsid w:val="00AE0D60"/>
    <w:rsid w:val="00AF7B9F"/>
    <w:rsid w:val="00B2346C"/>
    <w:rsid w:val="00B711AC"/>
    <w:rsid w:val="00B970B0"/>
    <w:rsid w:val="00BA57B7"/>
    <w:rsid w:val="00BF10F5"/>
    <w:rsid w:val="00BF1CB8"/>
    <w:rsid w:val="00C2204D"/>
    <w:rsid w:val="00C27425"/>
    <w:rsid w:val="00C4033E"/>
    <w:rsid w:val="00C438F4"/>
    <w:rsid w:val="00C64883"/>
    <w:rsid w:val="00C9059F"/>
    <w:rsid w:val="00CD1EDB"/>
    <w:rsid w:val="00D13AA1"/>
    <w:rsid w:val="00D16116"/>
    <w:rsid w:val="00D53BDF"/>
    <w:rsid w:val="00DC4974"/>
    <w:rsid w:val="00E23DD9"/>
    <w:rsid w:val="00E31F81"/>
    <w:rsid w:val="00E37C2F"/>
    <w:rsid w:val="00E44DDC"/>
    <w:rsid w:val="00E60FC5"/>
    <w:rsid w:val="00E73E65"/>
    <w:rsid w:val="00E95AB6"/>
    <w:rsid w:val="00EC39E3"/>
    <w:rsid w:val="00F002E6"/>
    <w:rsid w:val="00F04958"/>
    <w:rsid w:val="00F33985"/>
    <w:rsid w:val="00F35F28"/>
    <w:rsid w:val="00F45F89"/>
    <w:rsid w:val="00F542C7"/>
    <w:rsid w:val="00F650AE"/>
    <w:rsid w:val="00F9273D"/>
    <w:rsid w:val="00F94E27"/>
    <w:rsid w:val="00FB701F"/>
    <w:rsid w:val="00FD7682"/>
    <w:rsid w:val="00FE53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5B89"/>
  <w15:docId w15:val="{5B070385-6E11-47A6-968C-9522885E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56" w:lineRule="auto"/>
      <w:ind w:left="10" w:hanging="10"/>
      <w:jc w:val="both"/>
    </w:pPr>
    <w:rPr>
      <w:rFonts w:ascii="Cambria" w:eastAsia="Cambria" w:hAnsi="Cambria" w:cs="Cambria"/>
      <w:color w:val="000000"/>
      <w:sz w:val="24"/>
    </w:rPr>
  </w:style>
  <w:style w:type="paragraph" w:styleId="Heading1">
    <w:name w:val="heading 1"/>
    <w:next w:val="Normal"/>
    <w:link w:val="Heading1Char"/>
    <w:uiPriority w:val="9"/>
    <w:qFormat/>
    <w:pPr>
      <w:keepNext/>
      <w:keepLines/>
      <w:numPr>
        <w:numId w:val="2"/>
      </w:numPr>
      <w:spacing w:after="116"/>
      <w:ind w:left="370" w:hanging="10"/>
      <w:outlineLvl w:val="0"/>
    </w:pPr>
    <w:rPr>
      <w:rFonts w:ascii="Cambria" w:eastAsia="Cambria" w:hAnsi="Cambria" w:cs="Cambria"/>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i/>
      <w:color w:val="000000"/>
      <w:sz w:val="24"/>
    </w:rPr>
  </w:style>
  <w:style w:type="paragraph" w:customStyle="1" w:styleId="footnotedescription">
    <w:name w:val="footnote description"/>
    <w:next w:val="Normal"/>
    <w:link w:val="footnotedescriptionChar"/>
    <w:hidden/>
    <w:pPr>
      <w:spacing w:after="0" w:line="251" w:lineRule="auto"/>
    </w:pPr>
    <w:rPr>
      <w:rFonts w:ascii="Cambria" w:eastAsia="Cambria" w:hAnsi="Cambria" w:cs="Cambria"/>
      <w:color w:val="000000"/>
      <w:sz w:val="20"/>
    </w:rPr>
  </w:style>
  <w:style w:type="character" w:customStyle="1" w:styleId="footnotedescriptionChar">
    <w:name w:val="footnote description Char"/>
    <w:link w:val="footnotedescription"/>
    <w:rPr>
      <w:rFonts w:ascii="Cambria" w:eastAsia="Cambria" w:hAnsi="Cambria" w:cs="Cambria"/>
      <w:color w:val="000000"/>
      <w:sz w:val="20"/>
    </w:rPr>
  </w:style>
  <w:style w:type="character" w:customStyle="1" w:styleId="footnotemark">
    <w:name w:val="footnote mark"/>
    <w:hidden/>
    <w:rPr>
      <w:rFonts w:ascii="Cambria" w:eastAsia="Cambria" w:hAnsi="Cambria" w:cs="Cambria"/>
      <w:color w:val="000000"/>
      <w:sz w:val="20"/>
      <w:vertAlign w:val="superscript"/>
    </w:rPr>
  </w:style>
  <w:style w:type="paragraph" w:styleId="FootnoteText">
    <w:name w:val="footnote text"/>
    <w:basedOn w:val="Normal"/>
    <w:link w:val="FootnoteTextChar"/>
    <w:uiPriority w:val="99"/>
    <w:unhideWhenUsed/>
    <w:rsid w:val="00C9059F"/>
    <w:pPr>
      <w:spacing w:after="0" w:line="240" w:lineRule="auto"/>
      <w:ind w:left="0" w:firstLine="0"/>
      <w:jc w:val="left"/>
    </w:pPr>
    <w:rPr>
      <w:rFonts w:asciiTheme="minorHAnsi" w:eastAsiaTheme="minorHAnsi" w:hAnsiTheme="minorHAnsi" w:cstheme="minorBidi"/>
      <w:color w:val="auto"/>
      <w:kern w:val="0"/>
      <w:sz w:val="20"/>
      <w:szCs w:val="20"/>
      <w:lang w:eastAsia="en-US"/>
      <w14:ligatures w14:val="none"/>
    </w:rPr>
  </w:style>
  <w:style w:type="character" w:customStyle="1" w:styleId="FootnoteTextChar">
    <w:name w:val="Footnote Text Char"/>
    <w:basedOn w:val="DefaultParagraphFont"/>
    <w:link w:val="FootnoteText"/>
    <w:uiPriority w:val="99"/>
    <w:rsid w:val="00C9059F"/>
    <w:rPr>
      <w:rFonts w:eastAsiaTheme="minorHAnsi"/>
      <w:kern w:val="0"/>
      <w:sz w:val="20"/>
      <w:szCs w:val="20"/>
      <w:lang w:eastAsia="en-US"/>
      <w14:ligatures w14:val="none"/>
    </w:rPr>
  </w:style>
  <w:style w:type="character" w:styleId="FootnoteReference">
    <w:name w:val="footnote reference"/>
    <w:basedOn w:val="DefaultParagraphFont"/>
    <w:uiPriority w:val="99"/>
    <w:semiHidden/>
    <w:unhideWhenUsed/>
    <w:rsid w:val="00C9059F"/>
    <w:rPr>
      <w:vertAlign w:val="superscript"/>
    </w:rPr>
  </w:style>
  <w:style w:type="paragraph" w:styleId="ListParagraph">
    <w:name w:val="List Paragraph"/>
    <w:basedOn w:val="Normal"/>
    <w:uiPriority w:val="34"/>
    <w:qFormat/>
    <w:rsid w:val="00302856"/>
    <w:pPr>
      <w:ind w:left="720"/>
      <w:contextualSpacing/>
    </w:pPr>
  </w:style>
  <w:style w:type="paragraph" w:styleId="Header">
    <w:name w:val="header"/>
    <w:basedOn w:val="Normal"/>
    <w:link w:val="HeaderChar"/>
    <w:uiPriority w:val="99"/>
    <w:unhideWhenUsed/>
    <w:rsid w:val="00557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8B3"/>
    <w:rPr>
      <w:rFonts w:ascii="Cambria" w:eastAsia="Cambria" w:hAnsi="Cambria" w:cs="Cambria"/>
      <w:color w:val="000000"/>
      <w:sz w:val="24"/>
    </w:rPr>
  </w:style>
  <w:style w:type="character" w:styleId="Hyperlink">
    <w:name w:val="Hyperlink"/>
    <w:basedOn w:val="DefaultParagraphFont"/>
    <w:uiPriority w:val="99"/>
    <w:unhideWhenUsed/>
    <w:rsid w:val="00E23DD9"/>
    <w:rPr>
      <w:color w:val="0563C1" w:themeColor="hyperlink"/>
      <w:u w:val="single"/>
    </w:rPr>
  </w:style>
  <w:style w:type="character" w:styleId="UnresolvedMention">
    <w:name w:val="Unresolved Mention"/>
    <w:basedOn w:val="DefaultParagraphFont"/>
    <w:uiPriority w:val="99"/>
    <w:semiHidden/>
    <w:unhideWhenUsed/>
    <w:rsid w:val="00E23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prisonstudies.org/country/nor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38660DC4D8444A8FAFC8C500AD6749" ma:contentTypeVersion="20" ma:contentTypeDescription="Create a new document." ma:contentTypeScope="" ma:versionID="8c8cde08da9ce7777f82a83ddcccc91d">
  <xsd:schema xmlns:xsd="http://www.w3.org/2001/XMLSchema" xmlns:xs="http://www.w3.org/2001/XMLSchema" xmlns:p="http://schemas.microsoft.com/office/2006/metadata/properties" xmlns:ns2="9ebd9cdd-ad82-4838-86b9-515ec3ef6249" xmlns:ns3="c2651021-b507-4cdf-97ca-157e493055df" targetNamespace="http://schemas.microsoft.com/office/2006/metadata/properties" ma:root="true" ma:fieldsID="e7554f50a33f70b32b3972452b4b6746" ns2:_="" ns3:_="">
    <xsd:import namespace="9ebd9cdd-ad82-4838-86b9-515ec3ef6249"/>
    <xsd:import namespace="c2651021-b507-4cdf-97ca-157e493055d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Group" minOccurs="0"/>
                <xsd:element ref="ns3:gropu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d9cdd-ad82-4838-86b9-515ec3ef62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92925f62-1012-447c-8cad-4c2d76718c8c}" ma:internalName="TaxCatchAll" ma:showField="CatchAllData" ma:web="9ebd9cdd-ad82-4838-86b9-515ec3ef62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651021-b507-4cdf-97ca-157e493055d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Group" ma:index="19" nillable="true" ma:displayName="Group" ma:list="UserInfo" ma:SharePointGroup="0" ma:internalName="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pus" ma:index="20" nillable="true" ma:displayName="gropus" ma:list="UserInfo" ma:SearchPeopleOnly="false" ma:SharePointGroup="0" ma:internalName="gropu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2299680-b5f8-4bde-b4d8-74c3516691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8BB53-8FE0-435E-AA9B-86534C931780}">
  <ds:schemaRefs>
    <ds:schemaRef ds:uri="http://schemas.openxmlformats.org/officeDocument/2006/bibliography"/>
  </ds:schemaRefs>
</ds:datastoreItem>
</file>

<file path=customXml/itemProps2.xml><?xml version="1.0" encoding="utf-8"?>
<ds:datastoreItem xmlns:ds="http://schemas.openxmlformats.org/officeDocument/2006/customXml" ds:itemID="{3FF6AD7D-4556-4535-AFF5-E535CFA6F25B}"/>
</file>

<file path=customXml/itemProps3.xml><?xml version="1.0" encoding="utf-8"?>
<ds:datastoreItem xmlns:ds="http://schemas.openxmlformats.org/officeDocument/2006/customXml" ds:itemID="{14D57195-8A6D-49B7-9115-AF28F24CD6B4}"/>
</file>

<file path=docProps/app.xml><?xml version="1.0" encoding="utf-8"?>
<Properties xmlns="http://schemas.openxmlformats.org/officeDocument/2006/extended-properties" xmlns:vt="http://schemas.openxmlformats.org/officeDocument/2006/docPropsVTypes">
  <Template>Normal</Template>
  <TotalTime>4</TotalTime>
  <Pages>7</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Oireachtas Briefing, IPRT</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Oireachtas Briefing, IPRT</dc:title>
  <dc:subject/>
  <dc:creator>Ian O'Donnel</dc:creator>
  <cp:keywords/>
  <cp:lastModifiedBy>Ian O'Donnell</cp:lastModifiedBy>
  <cp:revision>3</cp:revision>
  <dcterms:created xsi:type="dcterms:W3CDTF">2023-10-18T07:03:00Z</dcterms:created>
  <dcterms:modified xsi:type="dcterms:W3CDTF">2023-10-18T07:05:00Z</dcterms:modified>
</cp:coreProperties>
</file>