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D79" w:rsidRPr="001A4D79" w:rsidRDefault="001A4D79" w:rsidP="001A4D79">
      <w:pPr>
        <w:widowControl w:val="0"/>
        <w:shd w:val="clear" w:color="auto" w:fill="FFFFFF"/>
        <w:suppressAutoHyphens/>
        <w:spacing w:after="0" w:line="240" w:lineRule="auto"/>
        <w:jc w:val="center"/>
        <w:rPr>
          <w:rFonts w:eastAsia="SimSun" w:cs="Mangal"/>
          <w:b/>
          <w:kern w:val="1"/>
          <w:sz w:val="24"/>
          <w:szCs w:val="24"/>
          <w:u w:val="single"/>
          <w:lang w:eastAsia="hi-IN" w:bidi="hi-IN"/>
        </w:rPr>
      </w:pPr>
      <w:r w:rsidRPr="0059753E">
        <w:rPr>
          <w:rFonts w:eastAsia="SimSun" w:cs="Mangal"/>
          <w:b/>
          <w:noProof/>
          <w:kern w:val="1"/>
          <w:sz w:val="24"/>
          <w:szCs w:val="24"/>
          <w:lang w:eastAsia="en-IE"/>
        </w:rPr>
        <w:drawing>
          <wp:inline distT="0" distB="0" distL="0" distR="0" wp14:anchorId="11C2527C" wp14:editId="66E31525">
            <wp:extent cx="2622550" cy="958850"/>
            <wp:effectExtent l="0" t="0" r="6350" b="0"/>
            <wp:docPr id="1" name="Picture 1" descr="IPRT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T Logo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2550" cy="958850"/>
                    </a:xfrm>
                    <a:prstGeom prst="rect">
                      <a:avLst/>
                    </a:prstGeom>
                    <a:noFill/>
                    <a:ln>
                      <a:noFill/>
                    </a:ln>
                  </pic:spPr>
                </pic:pic>
              </a:graphicData>
            </a:graphic>
          </wp:inline>
        </w:drawing>
      </w:r>
    </w:p>
    <w:p w:rsidR="001A4D79" w:rsidRPr="001A4D79" w:rsidRDefault="001A4D79" w:rsidP="001A4D79">
      <w:pPr>
        <w:widowControl w:val="0"/>
        <w:shd w:val="clear" w:color="auto" w:fill="FFFFFF"/>
        <w:suppressAutoHyphens/>
        <w:spacing w:after="0" w:line="240" w:lineRule="auto"/>
        <w:jc w:val="center"/>
        <w:rPr>
          <w:rFonts w:eastAsia="SimSun" w:cs="Mangal"/>
          <w:b/>
          <w:kern w:val="1"/>
          <w:sz w:val="24"/>
          <w:szCs w:val="24"/>
          <w:u w:val="single"/>
          <w:lang w:eastAsia="hi-IN" w:bidi="hi-IN"/>
        </w:rPr>
      </w:pPr>
      <w:bookmarkStart w:id="0" w:name="_GoBack"/>
      <w:bookmarkEnd w:id="0"/>
    </w:p>
    <w:p w:rsidR="001A4D79" w:rsidRPr="00E00316" w:rsidRDefault="001A4D79" w:rsidP="001A4D79">
      <w:pPr>
        <w:widowControl w:val="0"/>
        <w:shd w:val="clear" w:color="auto" w:fill="FFFFFF"/>
        <w:suppressAutoHyphens/>
        <w:spacing w:after="0" w:line="240" w:lineRule="auto"/>
        <w:jc w:val="center"/>
        <w:rPr>
          <w:rFonts w:eastAsia="SimSun" w:cs="Mangal"/>
          <w:b/>
          <w:kern w:val="1"/>
          <w:sz w:val="24"/>
          <w:szCs w:val="24"/>
          <w:lang w:eastAsia="hi-IN" w:bidi="hi-IN"/>
        </w:rPr>
      </w:pPr>
      <w:r w:rsidRPr="001A4D79">
        <w:rPr>
          <w:rFonts w:eastAsia="SimSun" w:cs="Mangal"/>
          <w:b/>
          <w:kern w:val="1"/>
          <w:sz w:val="24"/>
          <w:szCs w:val="24"/>
          <w:lang w:eastAsia="hi-IN" w:bidi="hi-IN"/>
        </w:rPr>
        <w:t xml:space="preserve">IPRT Submission to </w:t>
      </w:r>
      <w:r w:rsidRPr="00E00316">
        <w:rPr>
          <w:rFonts w:eastAsia="SimSun" w:cs="Mangal"/>
          <w:b/>
          <w:kern w:val="1"/>
          <w:sz w:val="24"/>
          <w:szCs w:val="24"/>
          <w:lang w:eastAsia="hi-IN" w:bidi="hi-IN"/>
        </w:rPr>
        <w:t xml:space="preserve">Human Rights Committee </w:t>
      </w:r>
    </w:p>
    <w:p w:rsidR="001A4D79" w:rsidRPr="00E00316" w:rsidRDefault="001A4D79" w:rsidP="001A4D79">
      <w:pPr>
        <w:widowControl w:val="0"/>
        <w:shd w:val="clear" w:color="auto" w:fill="FFFFFF"/>
        <w:suppressAutoHyphens/>
        <w:spacing w:after="0" w:line="240" w:lineRule="auto"/>
        <w:jc w:val="center"/>
        <w:rPr>
          <w:rFonts w:eastAsia="SimSun" w:cs="Mangal"/>
          <w:b/>
          <w:kern w:val="1"/>
          <w:sz w:val="24"/>
          <w:szCs w:val="24"/>
          <w:lang w:eastAsia="hi-IN" w:bidi="hi-IN"/>
        </w:rPr>
      </w:pPr>
      <w:proofErr w:type="gramStart"/>
      <w:r w:rsidRPr="00E00316">
        <w:rPr>
          <w:rFonts w:eastAsia="SimSun" w:cs="Mangal"/>
          <w:b/>
          <w:kern w:val="1"/>
          <w:sz w:val="24"/>
          <w:szCs w:val="24"/>
          <w:lang w:eastAsia="hi-IN" w:bidi="hi-IN"/>
        </w:rPr>
        <w:t>on</w:t>
      </w:r>
      <w:proofErr w:type="gramEnd"/>
      <w:r w:rsidRPr="00E00316">
        <w:rPr>
          <w:rFonts w:eastAsia="SimSun" w:cs="Mangal"/>
          <w:b/>
          <w:kern w:val="1"/>
          <w:sz w:val="24"/>
          <w:szCs w:val="24"/>
          <w:lang w:eastAsia="hi-IN" w:bidi="hi-IN"/>
        </w:rPr>
        <w:t xml:space="preserve"> Ireland’s Fourth Periodic Examination of Ireland </w:t>
      </w:r>
    </w:p>
    <w:p w:rsidR="001A4D79" w:rsidRPr="001A4D79" w:rsidRDefault="001A4D79" w:rsidP="001A4D79">
      <w:pPr>
        <w:widowControl w:val="0"/>
        <w:shd w:val="clear" w:color="auto" w:fill="FFFFFF"/>
        <w:suppressAutoHyphens/>
        <w:spacing w:after="0" w:line="240" w:lineRule="auto"/>
        <w:jc w:val="center"/>
        <w:rPr>
          <w:rFonts w:eastAsia="SimSun" w:cs="Mangal"/>
          <w:kern w:val="1"/>
          <w:sz w:val="24"/>
          <w:szCs w:val="24"/>
          <w:lang w:eastAsia="hi-IN" w:bidi="hi-IN"/>
        </w:rPr>
      </w:pPr>
      <w:proofErr w:type="gramStart"/>
      <w:r w:rsidRPr="00E00316">
        <w:rPr>
          <w:rFonts w:eastAsia="SimSun" w:cs="Mangal"/>
          <w:b/>
          <w:kern w:val="1"/>
          <w:sz w:val="24"/>
          <w:szCs w:val="24"/>
          <w:lang w:eastAsia="hi-IN" w:bidi="hi-IN"/>
        </w:rPr>
        <w:t>under</w:t>
      </w:r>
      <w:proofErr w:type="gramEnd"/>
      <w:r w:rsidRPr="00E00316">
        <w:rPr>
          <w:rFonts w:eastAsia="SimSun" w:cs="Mangal"/>
          <w:b/>
          <w:kern w:val="1"/>
          <w:sz w:val="24"/>
          <w:szCs w:val="24"/>
          <w:lang w:eastAsia="hi-IN" w:bidi="hi-IN"/>
        </w:rPr>
        <w:t xml:space="preserve"> the International Covenant on Civil and Political Rights</w:t>
      </w:r>
    </w:p>
    <w:p w:rsidR="001A4D79" w:rsidRPr="001A4D79" w:rsidRDefault="001A4D79" w:rsidP="001A4D79">
      <w:pPr>
        <w:widowControl w:val="0"/>
        <w:shd w:val="clear" w:color="auto" w:fill="FFFFFF"/>
        <w:suppressAutoHyphens/>
        <w:spacing w:after="0" w:line="240" w:lineRule="auto"/>
        <w:jc w:val="center"/>
        <w:rPr>
          <w:rFonts w:eastAsia="SimSun" w:cs="Mangal"/>
          <w:b/>
          <w:i/>
          <w:kern w:val="1"/>
          <w:sz w:val="24"/>
          <w:szCs w:val="24"/>
          <w:lang w:eastAsia="hi-IN" w:bidi="hi-IN"/>
        </w:rPr>
      </w:pPr>
    </w:p>
    <w:p w:rsidR="001A4D79" w:rsidRPr="001A4D79" w:rsidRDefault="001A4D79" w:rsidP="00E00316">
      <w:pPr>
        <w:widowControl w:val="0"/>
        <w:suppressAutoHyphens/>
        <w:spacing w:after="0" w:line="240" w:lineRule="auto"/>
        <w:jc w:val="both"/>
        <w:rPr>
          <w:rFonts w:eastAsia="SimSun" w:cs="Times New Roman"/>
          <w:b/>
          <w:kern w:val="1"/>
          <w:sz w:val="24"/>
          <w:szCs w:val="24"/>
          <w:u w:val="single"/>
          <w:lang w:eastAsia="hi-IN" w:bidi="hi-IN"/>
        </w:rPr>
      </w:pPr>
      <w:r w:rsidRPr="001A4D79">
        <w:rPr>
          <w:rFonts w:eastAsia="SimSun" w:cs="Times New Roman"/>
          <w:b/>
          <w:kern w:val="1"/>
          <w:sz w:val="24"/>
          <w:szCs w:val="24"/>
          <w:u w:val="single"/>
          <w:lang w:eastAsia="hi-IN" w:bidi="hi-IN"/>
        </w:rPr>
        <w:t>Introduction</w:t>
      </w:r>
    </w:p>
    <w:p w:rsidR="001A4D79" w:rsidRPr="001A4D79" w:rsidRDefault="001A4D79" w:rsidP="00E00316">
      <w:pPr>
        <w:widowControl w:val="0"/>
        <w:suppressAutoHyphens/>
        <w:spacing w:after="0" w:line="240" w:lineRule="auto"/>
        <w:jc w:val="both"/>
        <w:rPr>
          <w:rFonts w:eastAsia="SimSun" w:cs="Times New Roman"/>
          <w:kern w:val="1"/>
          <w:sz w:val="24"/>
          <w:szCs w:val="24"/>
          <w:lang w:eastAsia="hi-IN" w:bidi="hi-IN"/>
        </w:rPr>
      </w:pPr>
    </w:p>
    <w:p w:rsidR="001A4D79" w:rsidRPr="001A4D79" w:rsidRDefault="001A4D79" w:rsidP="00E00316">
      <w:pPr>
        <w:widowControl w:val="0"/>
        <w:suppressAutoHyphens/>
        <w:spacing w:after="0" w:line="240" w:lineRule="auto"/>
        <w:jc w:val="both"/>
        <w:rPr>
          <w:rFonts w:eastAsia="SimSun" w:cs="Times New Roman"/>
          <w:kern w:val="1"/>
          <w:sz w:val="24"/>
          <w:szCs w:val="24"/>
          <w:lang w:eastAsia="hi-IN" w:bidi="hi-IN"/>
        </w:rPr>
      </w:pPr>
      <w:r w:rsidRPr="001A4D79">
        <w:rPr>
          <w:rFonts w:eastAsia="SimSun" w:cs="Times New Roman"/>
          <w:kern w:val="1"/>
          <w:sz w:val="24"/>
          <w:szCs w:val="24"/>
          <w:lang w:eastAsia="hi-IN" w:bidi="hi-IN"/>
        </w:rPr>
        <w:t xml:space="preserve">The Irish Penal Reform Trust (IPRT) is Ireland’s leading non-governmental organisation campaigning for the rights of everyone in the penal system, with prison as a last resort. IPRT is committed to reducing imprisonment and the progressive reform of the penal system based on evidence-led policies. IPRT works to achieve its goals through research, raising awareness, building alliances and growing our organisation. </w:t>
      </w:r>
    </w:p>
    <w:p w:rsidR="001A4D79" w:rsidRPr="001A4D79" w:rsidRDefault="001A4D79" w:rsidP="00E00316">
      <w:pPr>
        <w:widowControl w:val="0"/>
        <w:suppressAutoHyphens/>
        <w:spacing w:after="0" w:line="240" w:lineRule="auto"/>
        <w:jc w:val="both"/>
        <w:rPr>
          <w:rFonts w:eastAsia="SimSun" w:cs="Times New Roman"/>
          <w:kern w:val="1"/>
          <w:sz w:val="24"/>
          <w:szCs w:val="24"/>
          <w:lang w:eastAsia="hi-IN" w:bidi="hi-IN"/>
        </w:rPr>
      </w:pPr>
    </w:p>
    <w:p w:rsidR="00DA2CF8" w:rsidRDefault="00EE2627" w:rsidP="00E00316">
      <w:pPr>
        <w:widowControl w:val="0"/>
        <w:suppressAutoHyphens/>
        <w:spacing w:after="0" w:line="240" w:lineRule="auto"/>
        <w:jc w:val="both"/>
        <w:rPr>
          <w:rFonts w:eastAsia="SimSun" w:cs="Times New Roman"/>
          <w:kern w:val="1"/>
          <w:sz w:val="24"/>
          <w:szCs w:val="24"/>
          <w:lang w:eastAsia="hi-IN" w:bidi="hi-IN"/>
        </w:rPr>
      </w:pPr>
      <w:r w:rsidRPr="00E00316">
        <w:rPr>
          <w:rFonts w:eastAsia="SimSun" w:cs="Times New Roman"/>
          <w:kern w:val="1"/>
          <w:sz w:val="24"/>
          <w:szCs w:val="24"/>
          <w:lang w:eastAsia="hi-IN" w:bidi="hi-IN"/>
        </w:rPr>
        <w:t xml:space="preserve">IPRT wholly endorses the </w:t>
      </w:r>
      <w:r w:rsidR="0066767D" w:rsidRPr="00E00316">
        <w:rPr>
          <w:rFonts w:eastAsia="SimSun" w:cs="Times New Roman"/>
          <w:kern w:val="1"/>
          <w:sz w:val="24"/>
          <w:szCs w:val="24"/>
          <w:lang w:eastAsia="hi-IN" w:bidi="hi-IN"/>
        </w:rPr>
        <w:t>Joint S</w:t>
      </w:r>
      <w:r w:rsidRPr="00E00316">
        <w:rPr>
          <w:rFonts w:eastAsia="SimSun" w:cs="Times New Roman"/>
          <w:kern w:val="1"/>
          <w:sz w:val="24"/>
          <w:szCs w:val="24"/>
          <w:lang w:eastAsia="hi-IN" w:bidi="hi-IN"/>
        </w:rPr>
        <w:t>ubmission of the Irish Council for Civil Liberties “</w:t>
      </w:r>
      <w:r w:rsidRPr="00E00316">
        <w:rPr>
          <w:rFonts w:eastAsia="SimSun" w:cs="Times New Roman"/>
          <w:i/>
          <w:kern w:val="1"/>
          <w:sz w:val="24"/>
          <w:szCs w:val="24"/>
          <w:lang w:eastAsia="hi-IN" w:bidi="hi-IN"/>
        </w:rPr>
        <w:t xml:space="preserve">Civil Society Report to the Fourth Periodic Examination of Ireland under the International Covenant </w:t>
      </w:r>
      <w:r w:rsidR="00A5288F" w:rsidRPr="00E00316">
        <w:rPr>
          <w:rFonts w:eastAsia="SimSun" w:cs="Times New Roman"/>
          <w:i/>
          <w:kern w:val="1"/>
          <w:sz w:val="24"/>
          <w:szCs w:val="24"/>
          <w:lang w:eastAsia="hi-IN" w:bidi="hi-IN"/>
        </w:rPr>
        <w:t>on Civil and Political Rights</w:t>
      </w:r>
      <w:r w:rsidR="00A5288F" w:rsidRPr="00E00316">
        <w:rPr>
          <w:rFonts w:eastAsia="SimSun" w:cs="Times New Roman"/>
          <w:kern w:val="1"/>
          <w:sz w:val="24"/>
          <w:szCs w:val="24"/>
          <w:lang w:eastAsia="hi-IN" w:bidi="hi-IN"/>
        </w:rPr>
        <w:t>”</w:t>
      </w:r>
      <w:r w:rsidRPr="00E00316">
        <w:rPr>
          <w:rFonts w:eastAsia="SimSun" w:cs="Times New Roman"/>
          <w:kern w:val="1"/>
          <w:sz w:val="24"/>
          <w:szCs w:val="24"/>
          <w:lang w:eastAsia="hi-IN" w:bidi="hi-IN"/>
        </w:rPr>
        <w:t xml:space="preserve"> </w:t>
      </w:r>
      <w:r w:rsidR="00A5288F" w:rsidRPr="00E00316">
        <w:rPr>
          <w:rFonts w:eastAsia="SimSun" w:cs="Times New Roman"/>
          <w:kern w:val="1"/>
          <w:sz w:val="24"/>
          <w:szCs w:val="24"/>
          <w:lang w:eastAsia="hi-IN" w:bidi="hi-IN"/>
        </w:rPr>
        <w:t xml:space="preserve">submitted 13 </w:t>
      </w:r>
      <w:r w:rsidRPr="00E00316">
        <w:rPr>
          <w:rFonts w:eastAsia="SimSun" w:cs="Times New Roman"/>
          <w:kern w:val="1"/>
          <w:sz w:val="24"/>
          <w:szCs w:val="24"/>
          <w:lang w:eastAsia="hi-IN" w:bidi="hi-IN"/>
        </w:rPr>
        <w:t>June 2014</w:t>
      </w:r>
      <w:r w:rsidR="00A5288F" w:rsidRPr="00E00316">
        <w:rPr>
          <w:rFonts w:eastAsia="SimSun" w:cs="Times New Roman"/>
          <w:kern w:val="1"/>
          <w:sz w:val="24"/>
          <w:szCs w:val="24"/>
          <w:lang w:eastAsia="hi-IN" w:bidi="hi-IN"/>
        </w:rPr>
        <w:t>,</w:t>
      </w:r>
      <w:r w:rsidRPr="00E00316">
        <w:rPr>
          <w:rFonts w:eastAsia="SimSun" w:cs="Times New Roman"/>
          <w:kern w:val="1"/>
          <w:sz w:val="24"/>
          <w:szCs w:val="24"/>
          <w:lang w:eastAsia="hi-IN" w:bidi="hi-IN"/>
        </w:rPr>
        <w:t xml:space="preserve"> insofar as it </w:t>
      </w:r>
      <w:r w:rsidR="00E00316">
        <w:rPr>
          <w:rFonts w:eastAsia="SimSun" w:cs="Times New Roman"/>
          <w:kern w:val="1"/>
          <w:sz w:val="24"/>
          <w:szCs w:val="24"/>
          <w:lang w:eastAsia="hi-IN" w:bidi="hi-IN"/>
        </w:rPr>
        <w:t xml:space="preserve">specifically </w:t>
      </w:r>
      <w:r w:rsidRPr="00E00316">
        <w:rPr>
          <w:rFonts w:eastAsia="SimSun" w:cs="Times New Roman"/>
          <w:kern w:val="1"/>
          <w:sz w:val="24"/>
          <w:szCs w:val="24"/>
          <w:lang w:eastAsia="hi-IN" w:bidi="hi-IN"/>
        </w:rPr>
        <w:t xml:space="preserve">relates to </w:t>
      </w:r>
      <w:r w:rsidR="00E00316">
        <w:rPr>
          <w:rFonts w:eastAsia="SimSun" w:cs="Times New Roman"/>
          <w:kern w:val="1"/>
          <w:sz w:val="24"/>
          <w:szCs w:val="24"/>
          <w:lang w:eastAsia="hi-IN" w:bidi="hi-IN"/>
        </w:rPr>
        <w:t>issues of</w:t>
      </w:r>
      <w:r w:rsidR="00DA2CF8">
        <w:rPr>
          <w:rFonts w:eastAsia="SimSun" w:cs="Times New Roman"/>
          <w:kern w:val="1"/>
          <w:sz w:val="24"/>
          <w:szCs w:val="24"/>
          <w:lang w:eastAsia="hi-IN" w:bidi="hi-IN"/>
        </w:rPr>
        <w:t xml:space="preserve"> detention</w:t>
      </w:r>
      <w:r w:rsidR="00E00316">
        <w:rPr>
          <w:rFonts w:eastAsia="SimSun" w:cs="Times New Roman"/>
          <w:kern w:val="1"/>
          <w:sz w:val="24"/>
          <w:szCs w:val="24"/>
          <w:lang w:eastAsia="hi-IN" w:bidi="hi-IN"/>
        </w:rPr>
        <w:t xml:space="preserve">. </w:t>
      </w:r>
      <w:r w:rsidR="001A4D79" w:rsidRPr="001A4D79">
        <w:rPr>
          <w:rFonts w:eastAsia="SimSun" w:cs="Times New Roman"/>
          <w:kern w:val="1"/>
          <w:sz w:val="24"/>
          <w:szCs w:val="24"/>
          <w:lang w:eastAsia="hi-IN" w:bidi="hi-IN"/>
        </w:rPr>
        <w:t xml:space="preserve">This </w:t>
      </w:r>
      <w:r w:rsidR="001A4D79" w:rsidRPr="001A4D79">
        <w:rPr>
          <w:rFonts w:eastAsia="SimSun" w:cs="Mangal"/>
          <w:kern w:val="1"/>
          <w:sz w:val="24"/>
          <w:szCs w:val="24"/>
          <w:lang w:eastAsia="hi-IN" w:bidi="hi-IN"/>
        </w:rPr>
        <w:t>submission</w:t>
      </w:r>
      <w:r w:rsidR="001A4D79" w:rsidRPr="001A4D79">
        <w:rPr>
          <w:rFonts w:eastAsia="SimSun" w:cs="Times New Roman"/>
          <w:kern w:val="1"/>
          <w:sz w:val="24"/>
          <w:szCs w:val="24"/>
          <w:lang w:eastAsia="hi-IN" w:bidi="hi-IN"/>
        </w:rPr>
        <w:t xml:space="preserve"> </w:t>
      </w:r>
      <w:r w:rsidR="00DA2CF8">
        <w:rPr>
          <w:rFonts w:eastAsia="SimSun" w:cs="Times New Roman"/>
          <w:kern w:val="1"/>
          <w:sz w:val="24"/>
          <w:szCs w:val="24"/>
          <w:lang w:eastAsia="hi-IN" w:bidi="hi-IN"/>
        </w:rPr>
        <w:t xml:space="preserve">initially </w:t>
      </w:r>
      <w:r w:rsidR="00E00316">
        <w:rPr>
          <w:rFonts w:eastAsia="SimSun" w:cs="Times New Roman"/>
          <w:kern w:val="1"/>
          <w:sz w:val="24"/>
          <w:szCs w:val="24"/>
          <w:lang w:eastAsia="hi-IN" w:bidi="hi-IN"/>
        </w:rPr>
        <w:t xml:space="preserve">follows the order of the Ireland’s Reply to the List of Issues and </w:t>
      </w:r>
      <w:r w:rsidR="00603E88" w:rsidRPr="00E00316">
        <w:rPr>
          <w:rFonts w:eastAsia="SimSun" w:cs="Times New Roman"/>
          <w:kern w:val="1"/>
          <w:sz w:val="24"/>
          <w:szCs w:val="24"/>
          <w:lang w:eastAsia="hi-IN" w:bidi="hi-IN"/>
        </w:rPr>
        <w:t>amplifies</w:t>
      </w:r>
      <w:r w:rsidRPr="00E00316">
        <w:rPr>
          <w:rFonts w:eastAsia="SimSun" w:cs="Times New Roman"/>
          <w:kern w:val="1"/>
          <w:sz w:val="24"/>
          <w:szCs w:val="24"/>
          <w:lang w:eastAsia="hi-IN" w:bidi="hi-IN"/>
        </w:rPr>
        <w:t xml:space="preserve"> </w:t>
      </w:r>
      <w:r w:rsidR="00603E88" w:rsidRPr="00E00316">
        <w:rPr>
          <w:rFonts w:eastAsia="SimSun" w:cs="Times New Roman"/>
          <w:kern w:val="1"/>
          <w:sz w:val="24"/>
          <w:szCs w:val="24"/>
          <w:lang w:eastAsia="hi-IN" w:bidi="hi-IN"/>
        </w:rPr>
        <w:t xml:space="preserve">some specific points which arise </w:t>
      </w:r>
      <w:r w:rsidR="00E00316">
        <w:rPr>
          <w:rFonts w:eastAsia="SimSun" w:cs="Times New Roman"/>
          <w:kern w:val="1"/>
          <w:sz w:val="24"/>
          <w:szCs w:val="24"/>
          <w:lang w:eastAsia="hi-IN" w:bidi="hi-IN"/>
        </w:rPr>
        <w:t xml:space="preserve">both </w:t>
      </w:r>
      <w:r w:rsidR="00603E88" w:rsidRPr="00E00316">
        <w:rPr>
          <w:rFonts w:eastAsia="SimSun" w:cs="Times New Roman"/>
          <w:kern w:val="1"/>
          <w:sz w:val="24"/>
          <w:szCs w:val="24"/>
          <w:lang w:eastAsia="hi-IN" w:bidi="hi-IN"/>
        </w:rPr>
        <w:t xml:space="preserve">from </w:t>
      </w:r>
      <w:r w:rsidR="00E00316">
        <w:rPr>
          <w:rFonts w:eastAsia="SimSun" w:cs="Times New Roman"/>
          <w:kern w:val="1"/>
          <w:sz w:val="24"/>
          <w:szCs w:val="24"/>
          <w:lang w:eastAsia="hi-IN" w:bidi="hi-IN"/>
        </w:rPr>
        <w:t>the Reply</w:t>
      </w:r>
      <w:r w:rsidR="00603E88" w:rsidRPr="00E00316">
        <w:rPr>
          <w:rFonts w:eastAsia="SimSun" w:cs="Times New Roman"/>
          <w:kern w:val="1"/>
          <w:sz w:val="24"/>
          <w:szCs w:val="24"/>
          <w:lang w:eastAsia="hi-IN" w:bidi="hi-IN"/>
        </w:rPr>
        <w:t xml:space="preserve"> and </w:t>
      </w:r>
      <w:r w:rsidRPr="00E00316">
        <w:rPr>
          <w:rFonts w:eastAsia="SimSun" w:cs="Times New Roman"/>
          <w:kern w:val="1"/>
          <w:sz w:val="24"/>
          <w:szCs w:val="24"/>
          <w:lang w:eastAsia="hi-IN" w:bidi="hi-IN"/>
        </w:rPr>
        <w:t xml:space="preserve">the substance of the </w:t>
      </w:r>
      <w:r w:rsidR="0066767D" w:rsidRPr="00E00316">
        <w:rPr>
          <w:rFonts w:eastAsia="SimSun" w:cs="Times New Roman"/>
          <w:kern w:val="1"/>
          <w:sz w:val="24"/>
          <w:szCs w:val="24"/>
          <w:lang w:eastAsia="hi-IN" w:bidi="hi-IN"/>
        </w:rPr>
        <w:t xml:space="preserve">Joint </w:t>
      </w:r>
      <w:r w:rsidR="00C07D2D">
        <w:rPr>
          <w:rFonts w:eastAsia="SimSun" w:cs="Times New Roman"/>
          <w:kern w:val="1"/>
          <w:sz w:val="24"/>
          <w:szCs w:val="24"/>
          <w:lang w:eastAsia="hi-IN" w:bidi="hi-IN"/>
        </w:rPr>
        <w:t>S</w:t>
      </w:r>
      <w:r w:rsidRPr="00E00316">
        <w:rPr>
          <w:rFonts w:eastAsia="SimSun" w:cs="Times New Roman"/>
          <w:kern w:val="1"/>
          <w:sz w:val="24"/>
          <w:szCs w:val="24"/>
          <w:lang w:eastAsia="hi-IN" w:bidi="hi-IN"/>
        </w:rPr>
        <w:t xml:space="preserve">ubmission. </w:t>
      </w:r>
    </w:p>
    <w:p w:rsidR="00DA2CF8" w:rsidRDefault="00DA2CF8" w:rsidP="00E00316">
      <w:pPr>
        <w:widowControl w:val="0"/>
        <w:suppressAutoHyphens/>
        <w:spacing w:after="0" w:line="240" w:lineRule="auto"/>
        <w:jc w:val="both"/>
        <w:rPr>
          <w:rFonts w:eastAsia="SimSun" w:cs="Times New Roman"/>
          <w:kern w:val="1"/>
          <w:sz w:val="24"/>
          <w:szCs w:val="24"/>
          <w:lang w:eastAsia="hi-IN" w:bidi="hi-IN"/>
        </w:rPr>
      </w:pPr>
    </w:p>
    <w:p w:rsidR="001A4D79" w:rsidRPr="00E00316" w:rsidRDefault="00DA2CF8" w:rsidP="00E00316">
      <w:pPr>
        <w:widowControl w:val="0"/>
        <w:suppressAutoHyphens/>
        <w:spacing w:after="0" w:line="240" w:lineRule="auto"/>
        <w:jc w:val="both"/>
        <w:rPr>
          <w:rFonts w:eastAsia="SimSun" w:cs="Times New Roman"/>
          <w:kern w:val="1"/>
          <w:sz w:val="24"/>
          <w:szCs w:val="24"/>
          <w:lang w:eastAsia="hi-IN" w:bidi="hi-IN"/>
        </w:rPr>
      </w:pPr>
      <w:r>
        <w:rPr>
          <w:rFonts w:eastAsia="SimSun" w:cs="Times New Roman"/>
          <w:kern w:val="1"/>
          <w:sz w:val="24"/>
          <w:szCs w:val="24"/>
          <w:lang w:eastAsia="hi-IN" w:bidi="hi-IN"/>
        </w:rPr>
        <w:t xml:space="preserve">At the end we have also included a section called “Other Issues” which addresses some remaining issues of concern relating to Ireland’s obligations under the International Covenant on Civil and Political Rights. </w:t>
      </w:r>
    </w:p>
    <w:p w:rsidR="00EE2627" w:rsidRPr="001A4D79" w:rsidRDefault="00EE2627" w:rsidP="00E00316">
      <w:pPr>
        <w:widowControl w:val="0"/>
        <w:suppressAutoHyphens/>
        <w:spacing w:after="0" w:line="240" w:lineRule="auto"/>
        <w:jc w:val="both"/>
        <w:rPr>
          <w:rFonts w:eastAsia="SimSun" w:cs="Times New Roman"/>
          <w:kern w:val="1"/>
          <w:sz w:val="24"/>
          <w:szCs w:val="24"/>
          <w:lang w:eastAsia="hi-IN" w:bidi="hi-IN"/>
        </w:rPr>
      </w:pPr>
    </w:p>
    <w:p w:rsidR="001A4D79" w:rsidRPr="00E00316" w:rsidRDefault="001A4D79" w:rsidP="00E00316">
      <w:pPr>
        <w:widowControl w:val="0"/>
        <w:suppressAutoHyphens/>
        <w:spacing w:after="0" w:line="240" w:lineRule="auto"/>
        <w:jc w:val="both"/>
        <w:rPr>
          <w:rFonts w:eastAsia="SimSun" w:cs="Times New Roman"/>
          <w:b/>
          <w:kern w:val="1"/>
          <w:sz w:val="24"/>
          <w:szCs w:val="24"/>
          <w:u w:val="single"/>
          <w:lang w:eastAsia="hi-IN" w:bidi="hi-IN"/>
        </w:rPr>
      </w:pPr>
      <w:r w:rsidRPr="00E00316">
        <w:rPr>
          <w:rFonts w:eastAsia="SimSun" w:cs="Times New Roman"/>
          <w:b/>
          <w:kern w:val="1"/>
          <w:sz w:val="24"/>
          <w:szCs w:val="24"/>
          <w:u w:val="single"/>
          <w:lang w:eastAsia="hi-IN" w:bidi="hi-IN"/>
        </w:rPr>
        <w:t>Reservation to Article 10, paragraph 2</w:t>
      </w:r>
      <w:r w:rsidR="00EE2627" w:rsidRPr="00E00316">
        <w:rPr>
          <w:rFonts w:eastAsia="SimSun" w:cs="Times New Roman"/>
          <w:b/>
          <w:kern w:val="1"/>
          <w:sz w:val="24"/>
          <w:szCs w:val="24"/>
          <w:u w:val="single"/>
          <w:lang w:eastAsia="hi-IN" w:bidi="hi-IN"/>
        </w:rPr>
        <w:t xml:space="preserve"> [</w:t>
      </w:r>
      <w:r w:rsidR="0066767D" w:rsidRPr="00E00316">
        <w:rPr>
          <w:rFonts w:eastAsia="SimSun" w:cs="Times New Roman"/>
          <w:b/>
          <w:kern w:val="1"/>
          <w:sz w:val="24"/>
          <w:szCs w:val="24"/>
          <w:u w:val="single"/>
          <w:lang w:eastAsia="hi-IN" w:bidi="hi-IN"/>
        </w:rPr>
        <w:t>Reply to List of Issues, para 2; Joint Submission, page 14</w:t>
      </w:r>
      <w:r w:rsidR="00EE2627" w:rsidRPr="00E00316">
        <w:rPr>
          <w:rFonts w:eastAsia="SimSun" w:cs="Times New Roman"/>
          <w:b/>
          <w:kern w:val="1"/>
          <w:sz w:val="24"/>
          <w:szCs w:val="24"/>
          <w:u w:val="single"/>
          <w:lang w:eastAsia="hi-IN" w:bidi="hi-IN"/>
        </w:rPr>
        <w:t>]</w:t>
      </w:r>
    </w:p>
    <w:p w:rsidR="001A4D79" w:rsidRPr="001A4D79" w:rsidRDefault="001A4D79" w:rsidP="00E00316">
      <w:pPr>
        <w:autoSpaceDE w:val="0"/>
        <w:autoSpaceDN w:val="0"/>
        <w:adjustRightInd w:val="0"/>
        <w:spacing w:after="0" w:line="240" w:lineRule="auto"/>
        <w:jc w:val="both"/>
        <w:rPr>
          <w:rFonts w:eastAsia="Times New Roman" w:cs="Times New Roman"/>
          <w:sz w:val="24"/>
          <w:szCs w:val="24"/>
          <w:lang w:val="en-GB" w:eastAsia="en-GB"/>
        </w:rPr>
      </w:pPr>
    </w:p>
    <w:p w:rsidR="00603E88" w:rsidRPr="00E00316" w:rsidRDefault="0078570F" w:rsidP="00E00316">
      <w:pPr>
        <w:widowControl w:val="0"/>
        <w:suppressAutoHyphens/>
        <w:autoSpaceDE w:val="0"/>
        <w:spacing w:after="224" w:line="240" w:lineRule="auto"/>
        <w:jc w:val="both"/>
        <w:rPr>
          <w:rFonts w:eastAsia="SimSun" w:cs="Times New Roman"/>
          <w:kern w:val="1"/>
          <w:sz w:val="24"/>
          <w:szCs w:val="24"/>
          <w:lang w:eastAsia="hi-IN" w:bidi="hi-IN"/>
        </w:rPr>
      </w:pPr>
      <w:r>
        <w:rPr>
          <w:rFonts w:eastAsia="SimSun" w:cs="Times New Roman"/>
          <w:kern w:val="1"/>
          <w:sz w:val="24"/>
          <w:szCs w:val="24"/>
          <w:lang w:eastAsia="hi-IN" w:bidi="hi-IN"/>
        </w:rPr>
        <w:t xml:space="preserve">Ireland </w:t>
      </w:r>
      <w:r w:rsidR="00603E88" w:rsidRPr="00E00316">
        <w:rPr>
          <w:rFonts w:eastAsia="SimSun" w:cs="Times New Roman"/>
          <w:kern w:val="1"/>
          <w:sz w:val="24"/>
          <w:szCs w:val="24"/>
          <w:lang w:eastAsia="hi-IN" w:bidi="hi-IN"/>
        </w:rPr>
        <w:t xml:space="preserve">entered </w:t>
      </w:r>
      <w:r>
        <w:rPr>
          <w:rFonts w:eastAsia="SimSun" w:cs="Times New Roman"/>
          <w:kern w:val="1"/>
          <w:sz w:val="24"/>
          <w:szCs w:val="24"/>
          <w:lang w:eastAsia="hi-IN" w:bidi="hi-IN"/>
        </w:rPr>
        <w:t xml:space="preserve">a reservation to Article 10 ICCPR on 8 December 1989 as follows: </w:t>
      </w:r>
    </w:p>
    <w:p w:rsidR="00603E88" w:rsidRPr="00E00316" w:rsidRDefault="00603E88" w:rsidP="00E00316">
      <w:pPr>
        <w:widowControl w:val="0"/>
        <w:suppressAutoHyphens/>
        <w:autoSpaceDE w:val="0"/>
        <w:spacing w:after="224" w:line="240" w:lineRule="auto"/>
        <w:ind w:left="720"/>
        <w:jc w:val="both"/>
        <w:rPr>
          <w:rFonts w:eastAsia="SimSun" w:cs="Times New Roman"/>
          <w:i/>
          <w:kern w:val="1"/>
          <w:sz w:val="24"/>
          <w:szCs w:val="24"/>
          <w:lang w:eastAsia="hi-IN" w:bidi="hi-IN"/>
        </w:rPr>
      </w:pPr>
      <w:r w:rsidRPr="00E00316">
        <w:rPr>
          <w:rFonts w:eastAsia="SimSun" w:cs="Times New Roman"/>
          <w:i/>
          <w:kern w:val="1"/>
          <w:sz w:val="24"/>
          <w:szCs w:val="24"/>
          <w:lang w:eastAsia="hi-IN" w:bidi="hi-IN"/>
        </w:rPr>
        <w:t>“Ireland accepts the principles referred to in paragraph 2 of Article 10 and implements them as far as practically possible. It reserves the right to regard full implementation of these principles as objectives to be achieved progressively”.</w:t>
      </w:r>
    </w:p>
    <w:p w:rsidR="00A5288F" w:rsidRPr="00E00316" w:rsidRDefault="0078570F" w:rsidP="00E00316">
      <w:pPr>
        <w:widowControl w:val="0"/>
        <w:suppressAutoHyphens/>
        <w:autoSpaceDE w:val="0"/>
        <w:spacing w:after="224" w:line="240" w:lineRule="auto"/>
        <w:jc w:val="both"/>
        <w:rPr>
          <w:rFonts w:eastAsia="SimSun" w:cs="Times New Roman"/>
          <w:kern w:val="1"/>
          <w:sz w:val="24"/>
          <w:szCs w:val="24"/>
          <w:lang w:eastAsia="hi-IN" w:bidi="hi-IN"/>
        </w:rPr>
      </w:pPr>
      <w:r>
        <w:rPr>
          <w:rFonts w:eastAsia="SimSun" w:cs="Times New Roman"/>
          <w:kern w:val="1"/>
          <w:sz w:val="24"/>
          <w:szCs w:val="24"/>
          <w:lang w:eastAsia="hi-IN" w:bidi="hi-IN"/>
        </w:rPr>
        <w:t>At the time of writing c</w:t>
      </w:r>
      <w:r w:rsidR="00603E88" w:rsidRPr="00E00316">
        <w:rPr>
          <w:rFonts w:eastAsia="SimSun" w:cs="Times New Roman"/>
          <w:kern w:val="1"/>
          <w:sz w:val="24"/>
          <w:szCs w:val="24"/>
          <w:lang w:eastAsia="hi-IN" w:bidi="hi-IN"/>
        </w:rPr>
        <w:t xml:space="preserve">hildren </w:t>
      </w:r>
      <w:r>
        <w:rPr>
          <w:rFonts w:eastAsia="SimSun" w:cs="Times New Roman"/>
          <w:kern w:val="1"/>
          <w:sz w:val="24"/>
          <w:szCs w:val="24"/>
          <w:lang w:eastAsia="hi-IN" w:bidi="hi-IN"/>
        </w:rPr>
        <w:t>continue to be detained</w:t>
      </w:r>
      <w:r w:rsidR="00603E88" w:rsidRPr="00E00316">
        <w:rPr>
          <w:rFonts w:eastAsia="SimSun" w:cs="Times New Roman"/>
          <w:kern w:val="1"/>
          <w:sz w:val="24"/>
          <w:szCs w:val="24"/>
          <w:lang w:eastAsia="hi-IN" w:bidi="hi-IN"/>
        </w:rPr>
        <w:t xml:space="preserve"> in adult prisons (both in dedicated units in Wheatfield and </w:t>
      </w:r>
      <w:r>
        <w:rPr>
          <w:rFonts w:eastAsia="SimSun" w:cs="Times New Roman"/>
          <w:kern w:val="1"/>
          <w:sz w:val="24"/>
          <w:szCs w:val="24"/>
          <w:lang w:eastAsia="hi-IN" w:bidi="hi-IN"/>
        </w:rPr>
        <w:t xml:space="preserve">in St. Patricks). </w:t>
      </w:r>
      <w:r w:rsidR="00A5288F" w:rsidRPr="001A4D79">
        <w:rPr>
          <w:rFonts w:eastAsia="SimSun" w:cs="Times New Roman"/>
          <w:kern w:val="1"/>
          <w:sz w:val="24"/>
          <w:szCs w:val="24"/>
          <w:lang w:eastAsia="hi-IN" w:bidi="hi-IN"/>
        </w:rPr>
        <w:t xml:space="preserve">In the National Children’s Detention Centre in </w:t>
      </w:r>
      <w:proofErr w:type="spellStart"/>
      <w:r w:rsidR="00A5288F" w:rsidRPr="001A4D79">
        <w:rPr>
          <w:rFonts w:eastAsia="SimSun" w:cs="Times New Roman"/>
          <w:kern w:val="1"/>
          <w:sz w:val="24"/>
          <w:szCs w:val="24"/>
          <w:lang w:eastAsia="hi-IN" w:bidi="hi-IN"/>
        </w:rPr>
        <w:t>Oberstown</w:t>
      </w:r>
      <w:proofErr w:type="spellEnd"/>
      <w:r w:rsidR="00A5288F" w:rsidRPr="001A4D79">
        <w:rPr>
          <w:rFonts w:eastAsia="SimSun" w:cs="Mangal"/>
          <w:kern w:val="1"/>
          <w:sz w:val="24"/>
          <w:szCs w:val="24"/>
          <w:lang w:eastAsia="hi-IN" w:bidi="hi-IN"/>
        </w:rPr>
        <w:t xml:space="preserve">, accused young people are to be held in a separate location from those who have been found guilty of a crime </w:t>
      </w:r>
      <w:r>
        <w:rPr>
          <w:rFonts w:eastAsia="SimSun" w:cs="Mangal"/>
          <w:kern w:val="1"/>
          <w:sz w:val="24"/>
          <w:szCs w:val="24"/>
          <w:lang w:eastAsia="hi-IN" w:bidi="hi-IN"/>
        </w:rPr>
        <w:t xml:space="preserve">only </w:t>
      </w:r>
      <w:r w:rsidR="00A5288F" w:rsidRPr="001A4D79">
        <w:rPr>
          <w:rFonts w:eastAsia="SimSun" w:cs="Mangal"/>
          <w:i/>
          <w:kern w:val="1"/>
          <w:sz w:val="24"/>
          <w:szCs w:val="24"/>
          <w:lang w:eastAsia="hi-IN" w:bidi="hi-IN"/>
        </w:rPr>
        <w:t>‘where practicable’</w:t>
      </w:r>
      <w:r w:rsidR="00A5288F" w:rsidRPr="00E00316">
        <w:rPr>
          <w:rFonts w:eastAsia="SimSun" w:cs="Mangal"/>
          <w:i/>
          <w:kern w:val="1"/>
          <w:sz w:val="24"/>
          <w:szCs w:val="24"/>
          <w:lang w:eastAsia="hi-IN" w:bidi="hi-IN"/>
        </w:rPr>
        <w:t>.</w:t>
      </w:r>
      <w:r w:rsidR="00A5288F" w:rsidRPr="00E00316">
        <w:rPr>
          <w:rFonts w:eastAsia="SimSun" w:cs="Mangal"/>
          <w:kern w:val="1"/>
          <w:sz w:val="24"/>
          <w:szCs w:val="24"/>
          <w:lang w:eastAsia="hi-IN" w:bidi="hi-IN"/>
        </w:rPr>
        <w:t xml:space="preserve"> </w:t>
      </w:r>
      <w:r w:rsidR="00603E88" w:rsidRPr="00E00316">
        <w:rPr>
          <w:rFonts w:eastAsia="SimSun" w:cs="Times New Roman"/>
          <w:kern w:val="1"/>
          <w:sz w:val="24"/>
          <w:szCs w:val="24"/>
          <w:lang w:eastAsia="hi-IN" w:bidi="hi-IN"/>
        </w:rPr>
        <w:t>The Children’s Rights Alliance Report Card for 2014 has found that “in practice, the segregation of children on remand and children serving a sentence is not always the case”.</w:t>
      </w:r>
      <w:r w:rsidR="00A5288F" w:rsidRPr="00E00316">
        <w:rPr>
          <w:rFonts w:eastAsia="SimSun" w:cs="Times New Roman"/>
          <w:kern w:val="1"/>
          <w:sz w:val="24"/>
          <w:szCs w:val="24"/>
          <w:lang w:eastAsia="hi-IN" w:bidi="hi-IN"/>
        </w:rPr>
        <w:t xml:space="preserve"> </w:t>
      </w:r>
    </w:p>
    <w:p w:rsidR="00A5288F" w:rsidRPr="00E00316" w:rsidRDefault="001A4D79" w:rsidP="00E00316">
      <w:pPr>
        <w:widowControl w:val="0"/>
        <w:suppressAutoHyphens/>
        <w:autoSpaceDE w:val="0"/>
        <w:spacing w:after="224" w:line="240" w:lineRule="auto"/>
        <w:jc w:val="both"/>
        <w:rPr>
          <w:rFonts w:eastAsia="SimSun" w:cs="Times New Roman"/>
          <w:kern w:val="1"/>
          <w:sz w:val="24"/>
          <w:szCs w:val="24"/>
          <w:lang w:eastAsia="hi-IN" w:bidi="hi-IN"/>
        </w:rPr>
      </w:pPr>
      <w:r w:rsidRPr="00E00316">
        <w:rPr>
          <w:rFonts w:eastAsia="SimSun" w:cs="Times New Roman"/>
          <w:kern w:val="1"/>
          <w:sz w:val="24"/>
          <w:szCs w:val="24"/>
          <w:lang w:eastAsia="hi-IN" w:bidi="hi-IN"/>
        </w:rPr>
        <w:t xml:space="preserve">In Ireland’s Reply to the List of Issues, the Government has stated that while </w:t>
      </w:r>
      <w:r w:rsidRPr="00E00316">
        <w:rPr>
          <w:rFonts w:eastAsia="SimSun" w:cs="Times New Roman"/>
          <w:i/>
          <w:kern w:val="1"/>
          <w:sz w:val="24"/>
          <w:szCs w:val="24"/>
          <w:lang w:eastAsia="hi-IN" w:bidi="hi-IN"/>
        </w:rPr>
        <w:t>“all reservations are kept under review, with a view to their withdrawal where possible”</w:t>
      </w:r>
      <w:r w:rsidRPr="00E00316">
        <w:rPr>
          <w:rFonts w:eastAsia="SimSun" w:cs="Times New Roman"/>
          <w:kern w:val="1"/>
          <w:sz w:val="24"/>
          <w:szCs w:val="24"/>
          <w:lang w:eastAsia="hi-IN" w:bidi="hi-IN"/>
        </w:rPr>
        <w:t xml:space="preserve"> </w:t>
      </w:r>
      <w:r w:rsidR="00EE2627" w:rsidRPr="00E00316">
        <w:rPr>
          <w:rFonts w:eastAsia="SimSun" w:cs="Times New Roman"/>
          <w:kern w:val="1"/>
          <w:sz w:val="24"/>
          <w:szCs w:val="24"/>
          <w:lang w:eastAsia="hi-IN" w:bidi="hi-IN"/>
        </w:rPr>
        <w:t xml:space="preserve">it is </w:t>
      </w:r>
      <w:r w:rsidR="00EE2627" w:rsidRPr="00E00316">
        <w:rPr>
          <w:rFonts w:eastAsia="SimSun" w:cs="Times New Roman"/>
          <w:i/>
          <w:kern w:val="1"/>
          <w:sz w:val="24"/>
          <w:szCs w:val="24"/>
          <w:lang w:eastAsia="hi-IN" w:bidi="hi-IN"/>
        </w:rPr>
        <w:t>“not possible”</w:t>
      </w:r>
      <w:r w:rsidR="00EE2627" w:rsidRPr="00E00316">
        <w:rPr>
          <w:rFonts w:eastAsia="SimSun" w:cs="Times New Roman"/>
          <w:kern w:val="1"/>
          <w:sz w:val="24"/>
          <w:szCs w:val="24"/>
          <w:lang w:eastAsia="hi-IN" w:bidi="hi-IN"/>
        </w:rPr>
        <w:t xml:space="preserve"> at this stag</w:t>
      </w:r>
      <w:r w:rsidRPr="00E00316">
        <w:rPr>
          <w:rFonts w:eastAsia="SimSun" w:cs="Times New Roman"/>
          <w:kern w:val="1"/>
          <w:sz w:val="24"/>
          <w:szCs w:val="24"/>
          <w:lang w:eastAsia="hi-IN" w:bidi="hi-IN"/>
        </w:rPr>
        <w:t xml:space="preserve">e to withdraw the reservation to Article 10, paragraph 2. </w:t>
      </w:r>
      <w:r w:rsidR="0078570F">
        <w:rPr>
          <w:rFonts w:eastAsia="SimSun" w:cs="Times New Roman"/>
          <w:kern w:val="1"/>
          <w:sz w:val="24"/>
          <w:szCs w:val="24"/>
          <w:lang w:eastAsia="hi-IN" w:bidi="hi-IN"/>
        </w:rPr>
        <w:t xml:space="preserve">While stating that </w:t>
      </w:r>
      <w:r w:rsidR="00603E88" w:rsidRPr="00E00316">
        <w:rPr>
          <w:rFonts w:eastAsia="SimSun" w:cs="Times New Roman"/>
          <w:kern w:val="1"/>
          <w:sz w:val="24"/>
          <w:szCs w:val="24"/>
          <w:lang w:eastAsia="hi-IN" w:bidi="hi-IN"/>
        </w:rPr>
        <w:t>it remains committed to the implementation of the principles, t</w:t>
      </w:r>
      <w:r w:rsidR="00EE2627" w:rsidRPr="00E00316">
        <w:rPr>
          <w:rFonts w:eastAsia="SimSun" w:cs="Times New Roman"/>
          <w:kern w:val="1"/>
          <w:sz w:val="24"/>
          <w:szCs w:val="24"/>
          <w:lang w:eastAsia="hi-IN" w:bidi="hi-IN"/>
        </w:rPr>
        <w:t xml:space="preserve">he Government has failed to identify the remaining obstacles to withdrawal of the reservation as expressly requested by the Committee.  </w:t>
      </w:r>
    </w:p>
    <w:p w:rsidR="001A4D79" w:rsidRPr="00E00316" w:rsidRDefault="00EE2627" w:rsidP="00E00316">
      <w:pPr>
        <w:widowControl w:val="0"/>
        <w:suppressAutoHyphens/>
        <w:spacing w:after="0" w:line="240" w:lineRule="auto"/>
        <w:jc w:val="both"/>
        <w:rPr>
          <w:rFonts w:eastAsia="SimSun" w:cs="Mangal"/>
          <w:kern w:val="1"/>
          <w:sz w:val="24"/>
          <w:szCs w:val="24"/>
          <w:lang w:eastAsia="hi-IN" w:bidi="hi-IN"/>
        </w:rPr>
      </w:pPr>
      <w:r w:rsidRPr="00E00316">
        <w:rPr>
          <w:rFonts w:eastAsia="Times New Roman" w:cs="Times New Roman"/>
          <w:sz w:val="24"/>
          <w:szCs w:val="24"/>
          <w:lang w:val="en-GB" w:eastAsia="en-GB"/>
        </w:rPr>
        <w:t>IPRT’s position is that</w:t>
      </w:r>
      <w:r w:rsidRPr="00E00316">
        <w:rPr>
          <w:rFonts w:eastAsia="Times New Roman" w:cs="Times New Roman"/>
          <w:b/>
          <w:sz w:val="24"/>
          <w:szCs w:val="24"/>
          <w:lang w:val="en-GB" w:eastAsia="en-GB"/>
        </w:rPr>
        <w:t xml:space="preserve"> </w:t>
      </w:r>
      <w:r w:rsidR="00603E88" w:rsidRPr="00E00316">
        <w:rPr>
          <w:rFonts w:eastAsia="Times New Roman" w:cs="Times New Roman"/>
          <w:sz w:val="24"/>
          <w:szCs w:val="24"/>
          <w:lang w:val="en-GB" w:eastAsia="en-GB"/>
        </w:rPr>
        <w:t xml:space="preserve">it is a founding principle of the criminal justice system that one </w:t>
      </w:r>
      <w:r w:rsidR="00420504">
        <w:rPr>
          <w:rFonts w:eastAsia="Times New Roman" w:cs="Times New Roman"/>
          <w:sz w:val="24"/>
          <w:szCs w:val="24"/>
          <w:lang w:val="en-GB" w:eastAsia="en-GB"/>
        </w:rPr>
        <w:t>is both</w:t>
      </w:r>
      <w:r w:rsidR="00603E88" w:rsidRPr="00E00316">
        <w:rPr>
          <w:rFonts w:eastAsia="Times New Roman" w:cs="Times New Roman"/>
          <w:sz w:val="24"/>
          <w:szCs w:val="24"/>
          <w:lang w:val="en-GB" w:eastAsia="en-GB"/>
        </w:rPr>
        <w:t xml:space="preserve"> seen </w:t>
      </w:r>
      <w:r w:rsidR="00603E88" w:rsidRPr="00E00316">
        <w:rPr>
          <w:rFonts w:eastAsia="Times New Roman" w:cs="Times New Roman"/>
          <w:sz w:val="24"/>
          <w:szCs w:val="24"/>
          <w:lang w:val="en-GB" w:eastAsia="en-GB"/>
        </w:rPr>
        <w:lastRenderedPageBreak/>
        <w:t>and treated as innocent until proven guilty.</w:t>
      </w:r>
      <w:r w:rsidR="00603E88" w:rsidRPr="00E00316">
        <w:rPr>
          <w:rFonts w:eastAsia="Times New Roman" w:cs="Times New Roman"/>
          <w:b/>
          <w:sz w:val="24"/>
          <w:szCs w:val="24"/>
          <w:lang w:val="en-GB" w:eastAsia="en-GB"/>
        </w:rPr>
        <w:t xml:space="preserve"> </w:t>
      </w:r>
      <w:r w:rsidR="00603E88" w:rsidRPr="00E00316">
        <w:rPr>
          <w:rFonts w:eastAsia="SimSun" w:cs="Mangal"/>
          <w:kern w:val="1"/>
          <w:sz w:val="24"/>
          <w:szCs w:val="24"/>
          <w:lang w:eastAsia="hi-IN" w:bidi="hi-IN"/>
        </w:rPr>
        <w:t>C</w:t>
      </w:r>
      <w:r w:rsidR="001A4D79" w:rsidRPr="001A4D79">
        <w:rPr>
          <w:rFonts w:eastAsia="SimSun" w:cs="Mangal"/>
          <w:kern w:val="1"/>
          <w:sz w:val="24"/>
          <w:szCs w:val="24"/>
          <w:lang w:eastAsia="hi-IN" w:bidi="hi-IN"/>
        </w:rPr>
        <w:t>hildren and young people held on remand must be detained separately from children who have been convicted and are serving a sentence</w:t>
      </w:r>
      <w:r w:rsidR="001A4D79" w:rsidRPr="00E00316">
        <w:rPr>
          <w:rFonts w:eastAsia="SimSun" w:cs="Mangal"/>
          <w:kern w:val="1"/>
          <w:sz w:val="24"/>
          <w:szCs w:val="24"/>
          <w:vertAlign w:val="superscript"/>
          <w:lang w:eastAsia="hi-IN" w:bidi="hi-IN"/>
        </w:rPr>
        <w:footnoteReference w:id="1"/>
      </w:r>
      <w:r w:rsidR="00A5288F" w:rsidRPr="00E00316">
        <w:rPr>
          <w:rFonts w:eastAsia="SimSun" w:cs="Mangal"/>
          <w:kern w:val="1"/>
          <w:sz w:val="24"/>
          <w:szCs w:val="24"/>
          <w:lang w:eastAsia="hi-IN" w:bidi="hi-IN"/>
        </w:rPr>
        <w:t>. This is a</w:t>
      </w:r>
      <w:r w:rsidR="00420504">
        <w:rPr>
          <w:rFonts w:eastAsia="SimSun" w:cs="Mangal"/>
          <w:kern w:val="1"/>
          <w:sz w:val="24"/>
          <w:szCs w:val="24"/>
          <w:lang w:eastAsia="hi-IN" w:bidi="hi-IN"/>
        </w:rPr>
        <w:t>n intern</w:t>
      </w:r>
      <w:r w:rsidR="00A5288F" w:rsidRPr="00E00316">
        <w:rPr>
          <w:rFonts w:eastAsia="SimSun" w:cs="Mangal"/>
          <w:kern w:val="1"/>
          <w:sz w:val="24"/>
          <w:szCs w:val="24"/>
          <w:lang w:eastAsia="hi-IN" w:bidi="hi-IN"/>
        </w:rPr>
        <w:t xml:space="preserve">ationally recognised principle also reflected in Article 37(c) of the 1989 Convention on the Rights of the Child, Rule 8(d) of the 1955 Standard Minimum Rules for the Treatment of Prisoners and Rule 13.4 of the 1985 Standard Minimum Rules for the Administration of Juvenile Justice. </w:t>
      </w:r>
    </w:p>
    <w:p w:rsidR="001A4D79" w:rsidRPr="001A4D79" w:rsidRDefault="001A4D79" w:rsidP="00E00316">
      <w:pPr>
        <w:widowControl w:val="0"/>
        <w:suppressAutoHyphens/>
        <w:spacing w:after="0" w:line="240" w:lineRule="auto"/>
        <w:jc w:val="both"/>
        <w:rPr>
          <w:rFonts w:eastAsia="SimSun" w:cs="Times New Roman"/>
          <w:kern w:val="1"/>
          <w:sz w:val="24"/>
          <w:szCs w:val="24"/>
          <w:lang w:eastAsia="hi-IN" w:bidi="hi-IN"/>
        </w:rPr>
      </w:pPr>
    </w:p>
    <w:p w:rsidR="001A4D79" w:rsidRPr="00E00316" w:rsidRDefault="00A5288F" w:rsidP="00E00316">
      <w:pPr>
        <w:widowControl w:val="0"/>
        <w:suppressAutoHyphens/>
        <w:spacing w:after="0" w:line="240" w:lineRule="auto"/>
        <w:jc w:val="both"/>
        <w:rPr>
          <w:rFonts w:eastAsia="SimSun" w:cs="Times New Roman"/>
          <w:b/>
          <w:kern w:val="1"/>
          <w:sz w:val="24"/>
          <w:szCs w:val="24"/>
          <w:u w:val="single"/>
          <w:lang w:eastAsia="hi-IN" w:bidi="hi-IN"/>
        </w:rPr>
      </w:pPr>
      <w:r w:rsidRPr="00E00316">
        <w:rPr>
          <w:rFonts w:eastAsia="SimSun" w:cs="Times New Roman"/>
          <w:b/>
          <w:kern w:val="1"/>
          <w:sz w:val="24"/>
          <w:szCs w:val="24"/>
          <w:u w:val="single"/>
          <w:lang w:eastAsia="hi-IN" w:bidi="hi-IN"/>
        </w:rPr>
        <w:t>The number of Prisoners accommodated in each of the prisons of the State Party [</w:t>
      </w:r>
      <w:r w:rsidR="0066767D" w:rsidRPr="00E00316">
        <w:rPr>
          <w:rFonts w:eastAsia="SimSun" w:cs="Times New Roman"/>
          <w:b/>
          <w:kern w:val="1"/>
          <w:sz w:val="24"/>
          <w:szCs w:val="24"/>
          <w:u w:val="single"/>
          <w:lang w:eastAsia="hi-IN" w:bidi="hi-IN"/>
        </w:rPr>
        <w:t>Reply to List of Issues</w:t>
      </w:r>
      <w:r w:rsidR="00952C3B" w:rsidRPr="00E00316">
        <w:rPr>
          <w:rFonts w:eastAsia="SimSun" w:cs="Times New Roman"/>
          <w:b/>
          <w:kern w:val="1"/>
          <w:sz w:val="24"/>
          <w:szCs w:val="24"/>
          <w:u w:val="single"/>
          <w:lang w:eastAsia="hi-IN" w:bidi="hi-IN"/>
        </w:rPr>
        <w:t>, paragraph 13</w:t>
      </w:r>
      <w:proofErr w:type="gramStart"/>
      <w:r w:rsidR="00952C3B" w:rsidRPr="00E00316">
        <w:rPr>
          <w:rFonts w:eastAsia="SimSun" w:cs="Times New Roman"/>
          <w:b/>
          <w:kern w:val="1"/>
          <w:sz w:val="24"/>
          <w:szCs w:val="24"/>
          <w:u w:val="single"/>
          <w:lang w:eastAsia="hi-IN" w:bidi="hi-IN"/>
        </w:rPr>
        <w:t xml:space="preserve">; </w:t>
      </w:r>
      <w:r w:rsidR="0066767D" w:rsidRPr="00E00316">
        <w:rPr>
          <w:rFonts w:eastAsia="SimSun" w:cs="Times New Roman"/>
          <w:b/>
          <w:kern w:val="1"/>
          <w:sz w:val="24"/>
          <w:szCs w:val="24"/>
          <w:u w:val="single"/>
          <w:lang w:eastAsia="hi-IN" w:bidi="hi-IN"/>
        </w:rPr>
        <w:t xml:space="preserve"> Joint</w:t>
      </w:r>
      <w:proofErr w:type="gramEnd"/>
      <w:r w:rsidR="0066767D" w:rsidRPr="00E00316">
        <w:rPr>
          <w:rFonts w:eastAsia="SimSun" w:cs="Times New Roman"/>
          <w:b/>
          <w:kern w:val="1"/>
          <w:sz w:val="24"/>
          <w:szCs w:val="24"/>
          <w:u w:val="single"/>
          <w:lang w:eastAsia="hi-IN" w:bidi="hi-IN"/>
        </w:rPr>
        <w:t xml:space="preserve"> Submission, page 28</w:t>
      </w:r>
      <w:r w:rsidRPr="00E00316">
        <w:rPr>
          <w:rFonts w:eastAsia="SimSun" w:cs="Times New Roman"/>
          <w:b/>
          <w:kern w:val="1"/>
          <w:sz w:val="24"/>
          <w:szCs w:val="24"/>
          <w:u w:val="single"/>
          <w:lang w:eastAsia="hi-IN" w:bidi="hi-IN"/>
        </w:rPr>
        <w:t>]</w:t>
      </w:r>
    </w:p>
    <w:p w:rsidR="0066767D" w:rsidRPr="001A4D79" w:rsidRDefault="0066767D" w:rsidP="00E00316">
      <w:pPr>
        <w:widowControl w:val="0"/>
        <w:suppressAutoHyphens/>
        <w:spacing w:after="0" w:line="240" w:lineRule="auto"/>
        <w:jc w:val="both"/>
        <w:rPr>
          <w:rFonts w:eastAsia="SimSun" w:cs="Times New Roman"/>
          <w:b/>
          <w:kern w:val="1"/>
          <w:sz w:val="24"/>
          <w:szCs w:val="24"/>
          <w:u w:val="single"/>
          <w:lang w:eastAsia="hi-IN" w:bidi="hi-IN"/>
        </w:rPr>
      </w:pPr>
    </w:p>
    <w:p w:rsidR="001A4D79" w:rsidRPr="001A4D79" w:rsidRDefault="00A5288F" w:rsidP="00E00316">
      <w:pPr>
        <w:widowControl w:val="0"/>
        <w:suppressAutoHyphens/>
        <w:spacing w:after="0" w:line="240" w:lineRule="auto"/>
        <w:jc w:val="both"/>
        <w:rPr>
          <w:rFonts w:eastAsia="SimSun" w:cs="Times New Roman"/>
          <w:kern w:val="1"/>
          <w:sz w:val="24"/>
          <w:szCs w:val="24"/>
          <w:lang w:eastAsia="hi-IN" w:bidi="hi-IN"/>
        </w:rPr>
      </w:pPr>
      <w:r w:rsidRPr="00E00316">
        <w:rPr>
          <w:rFonts w:eastAsia="SimSun" w:cs="Times New Roman"/>
          <w:kern w:val="1"/>
          <w:sz w:val="24"/>
          <w:szCs w:val="24"/>
          <w:lang w:eastAsia="hi-IN" w:bidi="hi-IN"/>
        </w:rPr>
        <w:t>D</w:t>
      </w:r>
      <w:r w:rsidR="001A4D79" w:rsidRPr="001A4D79">
        <w:rPr>
          <w:rFonts w:eastAsia="SimSun" w:cs="Times New Roman"/>
          <w:kern w:val="1"/>
          <w:sz w:val="24"/>
          <w:szCs w:val="24"/>
          <w:lang w:eastAsia="hi-IN" w:bidi="hi-IN"/>
        </w:rPr>
        <w:t>espite a recent decrease of 7.6% in committals to prison (15,735 in 2013 from 17,026 in 2012)</w:t>
      </w:r>
      <w:r w:rsidR="001A4D79" w:rsidRPr="00E00316">
        <w:rPr>
          <w:rFonts w:eastAsia="SimSun" w:cs="Times New Roman"/>
          <w:kern w:val="1"/>
          <w:sz w:val="24"/>
          <w:szCs w:val="24"/>
          <w:vertAlign w:val="superscript"/>
          <w:lang w:eastAsia="hi-IN" w:bidi="hi-IN"/>
        </w:rPr>
        <w:footnoteReference w:id="2"/>
      </w:r>
      <w:r w:rsidR="001A4D79" w:rsidRPr="001A4D79">
        <w:rPr>
          <w:rFonts w:eastAsia="SimSun" w:cs="Times New Roman"/>
          <w:kern w:val="1"/>
          <w:sz w:val="24"/>
          <w:szCs w:val="24"/>
          <w:lang w:eastAsia="hi-IN" w:bidi="hi-IN"/>
        </w:rPr>
        <w:t>, overcrowding persists within Irish prisons. Of 3,973 people in prison on 14</w:t>
      </w:r>
      <w:r w:rsidR="001A4D79" w:rsidRPr="001A4D79">
        <w:rPr>
          <w:rFonts w:eastAsia="SimSun" w:cs="Times New Roman"/>
          <w:kern w:val="1"/>
          <w:sz w:val="24"/>
          <w:szCs w:val="24"/>
          <w:vertAlign w:val="superscript"/>
          <w:lang w:eastAsia="hi-IN" w:bidi="hi-IN"/>
        </w:rPr>
        <w:t>th</w:t>
      </w:r>
      <w:r w:rsidR="001A4D79" w:rsidRPr="001A4D79">
        <w:rPr>
          <w:rFonts w:eastAsia="SimSun" w:cs="Times New Roman"/>
          <w:kern w:val="1"/>
          <w:sz w:val="24"/>
          <w:szCs w:val="24"/>
          <w:lang w:eastAsia="hi-IN" w:bidi="hi-IN"/>
        </w:rPr>
        <w:t xml:space="preserve"> January 2014: 1,854 prisoners (47%) were accommodated in single cells; 809 cells accommodated 2 prisoners (1,618 prisoners); 121 cells accommodated 3 prisoners (363 prisoners); and 36 cells accommodated 4 or more prisoners</w:t>
      </w:r>
      <w:r w:rsidR="001A4D79" w:rsidRPr="00E00316">
        <w:rPr>
          <w:rFonts w:eastAsia="SimSun" w:cs="Times New Roman"/>
          <w:kern w:val="1"/>
          <w:sz w:val="24"/>
          <w:szCs w:val="24"/>
          <w:vertAlign w:val="superscript"/>
          <w:lang w:eastAsia="hi-IN" w:bidi="hi-IN"/>
        </w:rPr>
        <w:footnoteReference w:id="3"/>
      </w:r>
      <w:r w:rsidR="001A4D79" w:rsidRPr="001A4D79">
        <w:rPr>
          <w:rFonts w:eastAsia="SimSun" w:cs="Times New Roman"/>
          <w:kern w:val="1"/>
          <w:sz w:val="24"/>
          <w:szCs w:val="24"/>
          <w:lang w:eastAsia="hi-IN" w:bidi="hi-IN"/>
        </w:rPr>
        <w:t xml:space="preserve">. </w:t>
      </w:r>
      <w:r w:rsidRPr="00E00316">
        <w:rPr>
          <w:rFonts w:eastAsia="SimSun" w:cs="Times New Roman"/>
          <w:kern w:val="1"/>
          <w:sz w:val="24"/>
          <w:szCs w:val="24"/>
          <w:lang w:eastAsia="hi-IN" w:bidi="hi-IN"/>
        </w:rPr>
        <w:t xml:space="preserve">Updated figures for 1 April 2014 [see Table 3 page 29 ICCL submission] reveal the extent of </w:t>
      </w:r>
      <w:r w:rsidR="00420504">
        <w:rPr>
          <w:rFonts w:eastAsia="SimSun" w:cs="Times New Roman"/>
          <w:kern w:val="1"/>
          <w:sz w:val="24"/>
          <w:szCs w:val="24"/>
          <w:lang w:eastAsia="hi-IN" w:bidi="hi-IN"/>
        </w:rPr>
        <w:t xml:space="preserve">current </w:t>
      </w:r>
      <w:r w:rsidRPr="00E00316">
        <w:rPr>
          <w:rFonts w:eastAsia="SimSun" w:cs="Times New Roman"/>
          <w:kern w:val="1"/>
          <w:sz w:val="24"/>
          <w:szCs w:val="24"/>
          <w:lang w:eastAsia="hi-IN" w:bidi="hi-IN"/>
        </w:rPr>
        <w:t xml:space="preserve">overcrowding, particularly in </w:t>
      </w:r>
      <w:proofErr w:type="spellStart"/>
      <w:r w:rsidRPr="00E00316">
        <w:rPr>
          <w:rFonts w:eastAsia="SimSun" w:cs="Times New Roman"/>
          <w:kern w:val="1"/>
          <w:sz w:val="24"/>
          <w:szCs w:val="24"/>
          <w:lang w:eastAsia="hi-IN" w:bidi="hi-IN"/>
        </w:rPr>
        <w:t>Cloverhill</w:t>
      </w:r>
      <w:proofErr w:type="spellEnd"/>
      <w:r w:rsidRPr="00E00316">
        <w:rPr>
          <w:rFonts w:eastAsia="SimSun" w:cs="Times New Roman"/>
          <w:kern w:val="1"/>
          <w:sz w:val="24"/>
          <w:szCs w:val="24"/>
          <w:lang w:eastAsia="hi-IN" w:bidi="hi-IN"/>
        </w:rPr>
        <w:t xml:space="preserve"> (24 prisoners sharing a 4+ cell), Midlands (32 prisoners sharing a 4+ cell) and Shelton Abbey (56 prisoners sharing a 4+ cell). </w:t>
      </w:r>
    </w:p>
    <w:p w:rsidR="00A5288F" w:rsidRPr="00E00316" w:rsidRDefault="001A4D79" w:rsidP="00E00316">
      <w:pPr>
        <w:widowControl w:val="0"/>
        <w:suppressAutoHyphens/>
        <w:spacing w:after="0" w:line="240" w:lineRule="auto"/>
        <w:jc w:val="both"/>
        <w:rPr>
          <w:rFonts w:eastAsia="SimSun" w:cs="Times New Roman"/>
          <w:kern w:val="1"/>
          <w:sz w:val="24"/>
          <w:szCs w:val="24"/>
          <w:lang w:eastAsia="hi-IN" w:bidi="hi-IN"/>
        </w:rPr>
      </w:pPr>
      <w:r w:rsidRPr="001A4D79">
        <w:rPr>
          <w:rFonts w:eastAsia="SimSun" w:cs="Times New Roman"/>
          <w:kern w:val="1"/>
          <w:sz w:val="24"/>
          <w:szCs w:val="24"/>
          <w:lang w:eastAsia="hi-IN" w:bidi="hi-IN"/>
        </w:rPr>
        <w:t xml:space="preserve"> </w:t>
      </w:r>
    </w:p>
    <w:p w:rsidR="001A4D79" w:rsidRPr="001A4D79" w:rsidRDefault="0066767D" w:rsidP="00E00316">
      <w:pPr>
        <w:widowControl w:val="0"/>
        <w:suppressAutoHyphens/>
        <w:spacing w:after="0" w:line="240" w:lineRule="auto"/>
        <w:jc w:val="both"/>
        <w:rPr>
          <w:rFonts w:eastAsia="SimSun" w:cs="Times New Roman"/>
          <w:kern w:val="1"/>
          <w:sz w:val="24"/>
          <w:szCs w:val="24"/>
          <w:lang w:eastAsia="hi-IN" w:bidi="hi-IN"/>
        </w:rPr>
      </w:pPr>
      <w:r w:rsidRPr="00E00316">
        <w:rPr>
          <w:rFonts w:eastAsia="SimSun" w:cs="Mangal"/>
          <w:kern w:val="1"/>
          <w:sz w:val="24"/>
          <w:szCs w:val="24"/>
          <w:lang w:eastAsia="hi-IN" w:bidi="hi-IN"/>
        </w:rPr>
        <w:t>It should be specifically noted that o</w:t>
      </w:r>
      <w:r w:rsidR="001A4D79" w:rsidRPr="001A4D79">
        <w:rPr>
          <w:rFonts w:eastAsia="SimSun" w:cs="Mangal"/>
          <w:kern w:val="1"/>
          <w:sz w:val="24"/>
          <w:szCs w:val="24"/>
          <w:lang w:eastAsia="hi-IN" w:bidi="hi-IN"/>
        </w:rPr>
        <w:t xml:space="preserve">vercrowding is a particular cause for concern in Ireland’s two female prisons. </w:t>
      </w:r>
      <w:r w:rsidR="001A4D79" w:rsidRPr="001A4D79">
        <w:rPr>
          <w:rFonts w:eastAsia="SimSun" w:cs="Mangal"/>
          <w:color w:val="222222"/>
          <w:kern w:val="1"/>
          <w:sz w:val="24"/>
          <w:szCs w:val="24"/>
          <w:lang w:eastAsia="hi-IN" w:bidi="hi-IN"/>
        </w:rPr>
        <w:t>On 12</w:t>
      </w:r>
      <w:r w:rsidR="001A4D79" w:rsidRPr="001A4D79">
        <w:rPr>
          <w:rFonts w:eastAsia="SimSun" w:cs="Mangal"/>
          <w:color w:val="222222"/>
          <w:kern w:val="1"/>
          <w:sz w:val="24"/>
          <w:szCs w:val="24"/>
          <w:vertAlign w:val="superscript"/>
          <w:lang w:eastAsia="hi-IN" w:bidi="hi-IN"/>
        </w:rPr>
        <w:t>th</w:t>
      </w:r>
      <w:r w:rsidR="001A4D79" w:rsidRPr="001A4D79">
        <w:rPr>
          <w:rFonts w:eastAsia="SimSun" w:cs="Mangal"/>
          <w:color w:val="222222"/>
          <w:kern w:val="1"/>
          <w:sz w:val="24"/>
          <w:szCs w:val="24"/>
          <w:lang w:eastAsia="hi-IN" w:bidi="hi-IN"/>
        </w:rPr>
        <w:t xml:space="preserve"> March 2014, there were 134 women</w:t>
      </w:r>
      <w:r w:rsidR="001A4D79" w:rsidRPr="00E00316">
        <w:rPr>
          <w:rFonts w:eastAsia="SimSun" w:cs="Times New Roman"/>
          <w:color w:val="222222"/>
          <w:kern w:val="1"/>
          <w:sz w:val="24"/>
          <w:szCs w:val="24"/>
          <w:vertAlign w:val="superscript"/>
          <w:lang w:eastAsia="hi-IN" w:bidi="hi-IN"/>
        </w:rPr>
        <w:footnoteReference w:id="4"/>
      </w:r>
      <w:r w:rsidR="001A4D79" w:rsidRPr="001A4D79">
        <w:rPr>
          <w:rFonts w:eastAsia="SimSun" w:cs="Mangal"/>
          <w:color w:val="222222"/>
          <w:kern w:val="1"/>
          <w:sz w:val="24"/>
          <w:szCs w:val="24"/>
          <w:lang w:eastAsia="hi-IN" w:bidi="hi-IN"/>
        </w:rPr>
        <w:t xml:space="preserve"> in the </w:t>
      </w:r>
      <w:proofErr w:type="spellStart"/>
      <w:r w:rsidR="001A4D79" w:rsidRPr="001A4D79">
        <w:rPr>
          <w:rFonts w:eastAsia="SimSun" w:cs="Mangal"/>
          <w:color w:val="222222"/>
          <w:kern w:val="1"/>
          <w:sz w:val="24"/>
          <w:szCs w:val="24"/>
          <w:lang w:eastAsia="hi-IN" w:bidi="hi-IN"/>
        </w:rPr>
        <w:t>Dóchas</w:t>
      </w:r>
      <w:proofErr w:type="spellEnd"/>
      <w:r w:rsidR="001A4D79" w:rsidRPr="001A4D79">
        <w:rPr>
          <w:rFonts w:eastAsia="SimSun" w:cs="Mangal"/>
          <w:color w:val="222222"/>
          <w:kern w:val="1"/>
          <w:sz w:val="24"/>
          <w:szCs w:val="24"/>
          <w:lang w:eastAsia="hi-IN" w:bidi="hi-IN"/>
        </w:rPr>
        <w:t xml:space="preserve"> Centre (design capacity 105) and 35 women in Limerick female prison (design capacity 24)</w:t>
      </w:r>
      <w:r w:rsidR="001A4D79" w:rsidRPr="00E00316">
        <w:rPr>
          <w:rFonts w:eastAsia="SimSun" w:cs="Times New Roman"/>
          <w:color w:val="222222"/>
          <w:kern w:val="1"/>
          <w:sz w:val="24"/>
          <w:szCs w:val="24"/>
          <w:vertAlign w:val="superscript"/>
          <w:lang w:eastAsia="hi-IN" w:bidi="hi-IN"/>
        </w:rPr>
        <w:footnoteReference w:id="5"/>
      </w:r>
      <w:r w:rsidR="001A4D79" w:rsidRPr="001A4D79">
        <w:rPr>
          <w:rFonts w:eastAsia="SimSun" w:cs="Mangal"/>
          <w:color w:val="222222"/>
          <w:kern w:val="1"/>
          <w:sz w:val="24"/>
          <w:szCs w:val="24"/>
          <w:lang w:eastAsia="hi-IN" w:bidi="hi-IN"/>
        </w:rPr>
        <w:t>. There was a 9.4% increase in female sentenced committals in 2013 (2,265 up from 2,071 in 2012) and an overall increase of 36.4% from 2011 to 2013 in female sentenced committals</w:t>
      </w:r>
      <w:r w:rsidR="001A4D79" w:rsidRPr="00E00316">
        <w:rPr>
          <w:rFonts w:eastAsia="SimSun" w:cs="Times New Roman"/>
          <w:color w:val="222222"/>
          <w:kern w:val="1"/>
          <w:sz w:val="24"/>
          <w:szCs w:val="24"/>
          <w:vertAlign w:val="superscript"/>
          <w:lang w:eastAsia="hi-IN" w:bidi="hi-IN"/>
        </w:rPr>
        <w:footnoteReference w:id="6"/>
      </w:r>
      <w:r w:rsidR="001A4D79" w:rsidRPr="001A4D79">
        <w:rPr>
          <w:rFonts w:eastAsia="SimSun" w:cs="Mangal"/>
          <w:color w:val="222222"/>
          <w:kern w:val="1"/>
          <w:sz w:val="24"/>
          <w:szCs w:val="24"/>
          <w:lang w:eastAsia="hi-IN" w:bidi="hi-IN"/>
        </w:rPr>
        <w:t>.</w:t>
      </w:r>
    </w:p>
    <w:p w:rsidR="001A4D79" w:rsidRPr="00E00316" w:rsidRDefault="001A4D79" w:rsidP="00E00316">
      <w:pPr>
        <w:widowControl w:val="0"/>
        <w:suppressAutoHyphens/>
        <w:spacing w:after="0" w:line="240" w:lineRule="auto"/>
        <w:ind w:left="57"/>
        <w:jc w:val="both"/>
        <w:rPr>
          <w:rFonts w:eastAsia="SimSun" w:cs="Mangal"/>
          <w:b/>
          <w:kern w:val="1"/>
          <w:sz w:val="24"/>
          <w:szCs w:val="24"/>
          <w:lang w:eastAsia="hi-IN" w:bidi="hi-IN"/>
        </w:rPr>
      </w:pPr>
    </w:p>
    <w:p w:rsidR="0066767D" w:rsidRPr="00E00316" w:rsidRDefault="0066767D" w:rsidP="00E00316">
      <w:pPr>
        <w:widowControl w:val="0"/>
        <w:suppressAutoHyphens/>
        <w:spacing w:after="0" w:line="240" w:lineRule="auto"/>
        <w:jc w:val="both"/>
        <w:rPr>
          <w:rFonts w:eastAsia="SimSun" w:cs="Mangal"/>
          <w:kern w:val="1"/>
          <w:sz w:val="24"/>
          <w:szCs w:val="24"/>
          <w:lang w:eastAsia="hi-IN" w:bidi="hi-IN"/>
        </w:rPr>
      </w:pPr>
      <w:r w:rsidRPr="00E00316">
        <w:rPr>
          <w:rFonts w:eastAsia="SimSun" w:cs="Mangal"/>
          <w:kern w:val="1"/>
          <w:sz w:val="24"/>
          <w:szCs w:val="24"/>
          <w:lang w:eastAsia="hi-IN" w:bidi="hi-IN"/>
        </w:rPr>
        <w:t xml:space="preserve">IPRT recommends that the State </w:t>
      </w:r>
      <w:r w:rsidR="00420504">
        <w:rPr>
          <w:rFonts w:eastAsia="SimSun" w:cs="Mangal"/>
          <w:kern w:val="1"/>
          <w:sz w:val="24"/>
          <w:szCs w:val="24"/>
          <w:lang w:eastAsia="hi-IN" w:bidi="hi-IN"/>
        </w:rPr>
        <w:t xml:space="preserve">immediately address </w:t>
      </w:r>
      <w:r w:rsidRPr="00E00316">
        <w:rPr>
          <w:rFonts w:eastAsia="SimSun" w:cs="Mangal"/>
          <w:kern w:val="1"/>
          <w:sz w:val="24"/>
          <w:szCs w:val="24"/>
          <w:lang w:eastAsia="hi-IN" w:bidi="hi-IN"/>
        </w:rPr>
        <w:t>overcrowding, particularly through the effective implementation of safe custody limits and the embedding of the principle of imprisonment as a last resort in both law and practice.</w:t>
      </w:r>
    </w:p>
    <w:p w:rsidR="0066767D" w:rsidRPr="00E00316" w:rsidRDefault="0066767D" w:rsidP="00E00316">
      <w:pPr>
        <w:widowControl w:val="0"/>
        <w:suppressAutoHyphens/>
        <w:spacing w:after="0" w:line="240" w:lineRule="auto"/>
        <w:jc w:val="both"/>
        <w:rPr>
          <w:rFonts w:eastAsia="SimSun" w:cs="Mangal"/>
          <w:kern w:val="1"/>
          <w:sz w:val="24"/>
          <w:szCs w:val="24"/>
          <w:lang w:eastAsia="hi-IN" w:bidi="hi-IN"/>
        </w:rPr>
      </w:pPr>
    </w:p>
    <w:p w:rsidR="0066767D" w:rsidRPr="00E00316" w:rsidRDefault="0066767D" w:rsidP="00E00316">
      <w:pPr>
        <w:widowControl w:val="0"/>
        <w:suppressAutoHyphens/>
        <w:spacing w:after="0" w:line="240" w:lineRule="auto"/>
        <w:jc w:val="both"/>
        <w:rPr>
          <w:rFonts w:eastAsia="SimSun" w:cs="Mangal"/>
          <w:b/>
          <w:kern w:val="1"/>
          <w:sz w:val="24"/>
          <w:szCs w:val="24"/>
          <w:u w:val="single"/>
          <w:lang w:eastAsia="hi-IN" w:bidi="hi-IN"/>
        </w:rPr>
      </w:pPr>
      <w:r w:rsidRPr="00E00316">
        <w:rPr>
          <w:rFonts w:eastAsia="SimSun" w:cs="Mangal"/>
          <w:b/>
          <w:kern w:val="1"/>
          <w:sz w:val="24"/>
          <w:szCs w:val="24"/>
          <w:u w:val="single"/>
          <w:lang w:eastAsia="hi-IN" w:bidi="hi-IN"/>
        </w:rPr>
        <w:t xml:space="preserve">Remaining Prison Cells </w:t>
      </w:r>
      <w:proofErr w:type="gramStart"/>
      <w:r w:rsidRPr="00E00316">
        <w:rPr>
          <w:rFonts w:eastAsia="SimSun" w:cs="Mangal"/>
          <w:b/>
          <w:kern w:val="1"/>
          <w:sz w:val="24"/>
          <w:szCs w:val="24"/>
          <w:u w:val="single"/>
          <w:lang w:eastAsia="hi-IN" w:bidi="hi-IN"/>
        </w:rPr>
        <w:t>Without</w:t>
      </w:r>
      <w:proofErr w:type="gramEnd"/>
      <w:r w:rsidRPr="00E00316">
        <w:rPr>
          <w:rFonts w:eastAsia="SimSun" w:cs="Mangal"/>
          <w:b/>
          <w:kern w:val="1"/>
          <w:sz w:val="24"/>
          <w:szCs w:val="24"/>
          <w:u w:val="single"/>
          <w:lang w:eastAsia="hi-IN" w:bidi="hi-IN"/>
        </w:rPr>
        <w:t xml:space="preserve"> In-Cell sanitation [</w:t>
      </w:r>
      <w:r w:rsidR="00952C3B" w:rsidRPr="00E00316">
        <w:rPr>
          <w:rFonts w:eastAsia="SimSun" w:cs="Mangal"/>
          <w:b/>
          <w:kern w:val="1"/>
          <w:sz w:val="24"/>
          <w:szCs w:val="24"/>
          <w:u w:val="single"/>
          <w:lang w:eastAsia="hi-IN" w:bidi="hi-IN"/>
        </w:rPr>
        <w:t xml:space="preserve">Reply to List of Issues, para 13; </w:t>
      </w:r>
      <w:r w:rsidRPr="00E00316">
        <w:rPr>
          <w:rFonts w:eastAsia="SimSun" w:cs="Mangal"/>
          <w:b/>
          <w:kern w:val="1"/>
          <w:sz w:val="24"/>
          <w:szCs w:val="24"/>
          <w:u w:val="single"/>
          <w:lang w:eastAsia="hi-IN" w:bidi="hi-IN"/>
        </w:rPr>
        <w:t>Joint Submission, page 28]</w:t>
      </w:r>
    </w:p>
    <w:p w:rsidR="0066767D" w:rsidRPr="00E00316" w:rsidRDefault="0066767D" w:rsidP="00E00316">
      <w:pPr>
        <w:widowControl w:val="0"/>
        <w:suppressAutoHyphens/>
        <w:spacing w:after="0" w:line="240" w:lineRule="auto"/>
        <w:ind w:left="57"/>
        <w:jc w:val="both"/>
        <w:rPr>
          <w:rFonts w:eastAsia="SimSun" w:cs="Mangal"/>
          <w:b/>
          <w:kern w:val="1"/>
          <w:sz w:val="24"/>
          <w:szCs w:val="24"/>
          <w:lang w:eastAsia="hi-IN" w:bidi="hi-IN"/>
        </w:rPr>
      </w:pPr>
    </w:p>
    <w:p w:rsidR="0066767D" w:rsidRPr="001A4D79" w:rsidRDefault="0066767D" w:rsidP="00E00316">
      <w:pPr>
        <w:widowControl w:val="0"/>
        <w:suppressAutoHyphens/>
        <w:spacing w:after="0" w:line="240" w:lineRule="auto"/>
        <w:jc w:val="both"/>
        <w:rPr>
          <w:rFonts w:eastAsia="SimSun" w:cs="Times New Roman"/>
          <w:kern w:val="1"/>
          <w:sz w:val="24"/>
          <w:szCs w:val="24"/>
          <w:lang w:eastAsia="hi-IN" w:bidi="hi-IN"/>
        </w:rPr>
      </w:pPr>
      <w:r w:rsidRPr="001A4D79">
        <w:rPr>
          <w:rFonts w:eastAsia="SimSun" w:cs="Times New Roman"/>
          <w:kern w:val="1"/>
          <w:sz w:val="24"/>
          <w:szCs w:val="24"/>
          <w:lang w:eastAsia="hi-IN" w:bidi="hi-IN"/>
        </w:rPr>
        <w:t>On 14</w:t>
      </w:r>
      <w:r w:rsidRPr="001A4D79">
        <w:rPr>
          <w:rFonts w:eastAsia="SimSun" w:cs="Times New Roman"/>
          <w:kern w:val="1"/>
          <w:sz w:val="24"/>
          <w:szCs w:val="24"/>
          <w:vertAlign w:val="superscript"/>
          <w:lang w:eastAsia="hi-IN" w:bidi="hi-IN"/>
        </w:rPr>
        <w:t>th</w:t>
      </w:r>
      <w:r w:rsidRPr="001A4D79">
        <w:rPr>
          <w:rFonts w:eastAsia="SimSun" w:cs="Times New Roman"/>
          <w:kern w:val="1"/>
          <w:sz w:val="24"/>
          <w:szCs w:val="24"/>
          <w:lang w:eastAsia="hi-IN" w:bidi="hi-IN"/>
        </w:rPr>
        <w:t xml:space="preserve"> January 2014, 465 prisoners (11.7%) were required to slop out and 1,628 prisoners (40.9%) were required to use the toilet in the presence of another prisoner</w:t>
      </w:r>
      <w:r w:rsidRPr="00E00316">
        <w:rPr>
          <w:rFonts w:eastAsia="SimSun" w:cs="Times New Roman"/>
          <w:kern w:val="1"/>
          <w:sz w:val="24"/>
          <w:szCs w:val="24"/>
          <w:vertAlign w:val="superscript"/>
          <w:lang w:eastAsia="hi-IN" w:bidi="hi-IN"/>
        </w:rPr>
        <w:footnoteReference w:id="7"/>
      </w:r>
      <w:r w:rsidRPr="001A4D79">
        <w:rPr>
          <w:rFonts w:eastAsia="SimSun" w:cs="Times New Roman"/>
          <w:kern w:val="1"/>
          <w:sz w:val="24"/>
          <w:szCs w:val="24"/>
          <w:lang w:eastAsia="hi-IN" w:bidi="hi-IN"/>
        </w:rPr>
        <w:t>. Only 1,880 (47.3%) prisoners were in a single cell with a flush toilet or had access to toilet facilities in private at all times</w:t>
      </w:r>
      <w:r w:rsidRPr="00E00316">
        <w:rPr>
          <w:rFonts w:eastAsia="SimSun" w:cs="Times New Roman"/>
          <w:kern w:val="1"/>
          <w:sz w:val="24"/>
          <w:szCs w:val="24"/>
          <w:vertAlign w:val="superscript"/>
          <w:lang w:eastAsia="hi-IN" w:bidi="hi-IN"/>
        </w:rPr>
        <w:footnoteReference w:id="8"/>
      </w:r>
      <w:r w:rsidRPr="001A4D79">
        <w:rPr>
          <w:rFonts w:eastAsia="SimSun" w:cs="Times New Roman"/>
          <w:kern w:val="1"/>
          <w:sz w:val="24"/>
          <w:szCs w:val="24"/>
          <w:lang w:eastAsia="hi-IN" w:bidi="hi-IN"/>
        </w:rPr>
        <w:t>.</w:t>
      </w:r>
    </w:p>
    <w:p w:rsidR="0066767D" w:rsidRPr="001A4D79" w:rsidRDefault="0066767D" w:rsidP="00E00316">
      <w:pPr>
        <w:widowControl w:val="0"/>
        <w:suppressAutoHyphens/>
        <w:spacing w:after="0" w:line="240" w:lineRule="auto"/>
        <w:jc w:val="both"/>
        <w:rPr>
          <w:rFonts w:eastAsia="SimSun" w:cs="Times New Roman"/>
          <w:kern w:val="1"/>
          <w:sz w:val="24"/>
          <w:szCs w:val="24"/>
          <w:lang w:eastAsia="hi-IN" w:bidi="hi-IN"/>
        </w:rPr>
      </w:pPr>
    </w:p>
    <w:p w:rsidR="0066767D" w:rsidRPr="001A4D79" w:rsidRDefault="0066767D" w:rsidP="00E00316">
      <w:pPr>
        <w:widowControl w:val="0"/>
        <w:suppressAutoHyphens/>
        <w:spacing w:after="0" w:line="240" w:lineRule="auto"/>
        <w:jc w:val="both"/>
        <w:rPr>
          <w:rFonts w:eastAsia="SimSun" w:cs="Times New Roman"/>
          <w:kern w:val="1"/>
          <w:sz w:val="24"/>
          <w:szCs w:val="24"/>
          <w:lang w:eastAsia="hi-IN" w:bidi="hi-IN"/>
        </w:rPr>
      </w:pPr>
      <w:r w:rsidRPr="00E00316">
        <w:rPr>
          <w:rFonts w:eastAsia="SimSun" w:cs="Times New Roman"/>
          <w:kern w:val="1"/>
          <w:sz w:val="24"/>
          <w:szCs w:val="24"/>
          <w:lang w:eastAsia="hi-IN" w:bidi="hi-IN"/>
        </w:rPr>
        <w:t>T</w:t>
      </w:r>
      <w:r w:rsidRPr="001A4D79">
        <w:rPr>
          <w:rFonts w:eastAsia="SimSun" w:cs="Times New Roman"/>
          <w:kern w:val="1"/>
          <w:sz w:val="24"/>
          <w:szCs w:val="24"/>
          <w:lang w:eastAsia="hi-IN" w:bidi="hi-IN"/>
        </w:rPr>
        <w:t xml:space="preserve">he act of discharging human waste, and more particularly of defecating, in a chamber pot in the presence of one or more other persons, in a confined space used as a living area, </w:t>
      </w:r>
      <w:r w:rsidRPr="00E00316">
        <w:rPr>
          <w:rFonts w:eastAsia="SimSun" w:cs="Times New Roman"/>
          <w:kern w:val="1"/>
          <w:sz w:val="24"/>
          <w:szCs w:val="24"/>
          <w:lang w:eastAsia="hi-IN" w:bidi="hi-IN"/>
        </w:rPr>
        <w:t>is</w:t>
      </w:r>
      <w:r w:rsidRPr="001A4D79">
        <w:rPr>
          <w:rFonts w:eastAsia="SimSun" w:cs="Times New Roman"/>
          <w:kern w:val="1"/>
          <w:sz w:val="24"/>
          <w:szCs w:val="24"/>
          <w:lang w:eastAsia="hi-IN" w:bidi="hi-IN"/>
        </w:rPr>
        <w:t xml:space="preserve"> degrading. It is degrading not only for the person using the chamber pot but also for the persons with whom he shares a cell. In 2011, the C</w:t>
      </w:r>
      <w:r w:rsidRPr="00E00316">
        <w:rPr>
          <w:rFonts w:eastAsia="SimSun" w:cs="Times New Roman"/>
          <w:kern w:val="1"/>
          <w:sz w:val="24"/>
          <w:szCs w:val="24"/>
          <w:lang w:eastAsia="hi-IN" w:bidi="hi-IN"/>
        </w:rPr>
        <w:t xml:space="preserve">ommittee for the </w:t>
      </w:r>
      <w:r w:rsidRPr="001A4D79">
        <w:rPr>
          <w:rFonts w:eastAsia="SimSun" w:cs="Times New Roman"/>
          <w:kern w:val="1"/>
          <w:sz w:val="24"/>
          <w:szCs w:val="24"/>
          <w:lang w:eastAsia="hi-IN" w:bidi="hi-IN"/>
        </w:rPr>
        <w:t>P</w:t>
      </w:r>
      <w:r w:rsidRPr="00E00316">
        <w:rPr>
          <w:rFonts w:eastAsia="SimSun" w:cs="Times New Roman"/>
          <w:kern w:val="1"/>
          <w:sz w:val="24"/>
          <w:szCs w:val="24"/>
          <w:lang w:eastAsia="hi-IN" w:bidi="hi-IN"/>
        </w:rPr>
        <w:t xml:space="preserve">revention of </w:t>
      </w:r>
      <w:r w:rsidRPr="001A4D79">
        <w:rPr>
          <w:rFonts w:eastAsia="SimSun" w:cs="Times New Roman"/>
          <w:kern w:val="1"/>
          <w:sz w:val="24"/>
          <w:szCs w:val="24"/>
          <w:lang w:eastAsia="hi-IN" w:bidi="hi-IN"/>
        </w:rPr>
        <w:t>T</w:t>
      </w:r>
      <w:r w:rsidRPr="00E00316">
        <w:rPr>
          <w:rFonts w:eastAsia="SimSun" w:cs="Times New Roman"/>
          <w:kern w:val="1"/>
          <w:sz w:val="24"/>
          <w:szCs w:val="24"/>
          <w:lang w:eastAsia="hi-IN" w:bidi="hi-IN"/>
        </w:rPr>
        <w:t>orture</w:t>
      </w:r>
      <w:r w:rsidRPr="001A4D79">
        <w:rPr>
          <w:rFonts w:eastAsia="SimSun" w:cs="Times New Roman"/>
          <w:kern w:val="1"/>
          <w:sz w:val="24"/>
          <w:szCs w:val="24"/>
          <w:lang w:eastAsia="hi-IN" w:bidi="hi-IN"/>
        </w:rPr>
        <w:t xml:space="preserve"> </w:t>
      </w:r>
      <w:r w:rsidRPr="00E00316">
        <w:rPr>
          <w:rFonts w:eastAsia="SimSun" w:cs="Times New Roman"/>
          <w:kern w:val="1"/>
          <w:sz w:val="24"/>
          <w:szCs w:val="24"/>
          <w:lang w:eastAsia="hi-IN" w:bidi="hi-IN"/>
        </w:rPr>
        <w:t xml:space="preserve">also </w:t>
      </w:r>
      <w:r w:rsidRPr="001A4D79">
        <w:rPr>
          <w:rFonts w:eastAsia="SimSun" w:cs="Times New Roman"/>
          <w:kern w:val="1"/>
          <w:sz w:val="24"/>
          <w:szCs w:val="24"/>
          <w:lang w:eastAsia="hi-IN" w:bidi="hi-IN"/>
        </w:rPr>
        <w:t>called upon the Irish authorities to eradicate “slopping out” from the prison system</w:t>
      </w:r>
      <w:r w:rsidRPr="00E00316">
        <w:rPr>
          <w:rFonts w:eastAsia="SimSun" w:cs="Times New Roman"/>
          <w:kern w:val="1"/>
          <w:sz w:val="24"/>
          <w:szCs w:val="24"/>
          <w:vertAlign w:val="superscript"/>
          <w:lang w:eastAsia="hi-IN" w:bidi="hi-IN"/>
        </w:rPr>
        <w:footnoteReference w:id="9"/>
      </w:r>
      <w:r w:rsidRPr="001A4D79">
        <w:rPr>
          <w:rFonts w:eastAsia="SimSun" w:cs="Times New Roman"/>
          <w:kern w:val="1"/>
          <w:sz w:val="24"/>
          <w:szCs w:val="24"/>
          <w:lang w:eastAsia="hi-IN" w:bidi="hi-IN"/>
        </w:rPr>
        <w:t>.</w:t>
      </w:r>
    </w:p>
    <w:p w:rsidR="0066767D" w:rsidRPr="00E00316" w:rsidRDefault="0066767D" w:rsidP="00E00316">
      <w:pPr>
        <w:widowControl w:val="0"/>
        <w:suppressAutoHyphens/>
        <w:spacing w:after="0" w:line="240" w:lineRule="auto"/>
        <w:ind w:left="57"/>
        <w:jc w:val="both"/>
        <w:rPr>
          <w:rFonts w:eastAsia="SimSun" w:cs="Mangal"/>
          <w:b/>
          <w:kern w:val="1"/>
          <w:sz w:val="24"/>
          <w:szCs w:val="24"/>
          <w:lang w:eastAsia="hi-IN" w:bidi="hi-IN"/>
        </w:rPr>
      </w:pPr>
    </w:p>
    <w:p w:rsidR="0066767D" w:rsidRPr="00E00316" w:rsidRDefault="0066767D" w:rsidP="00E00316">
      <w:pPr>
        <w:widowControl w:val="0"/>
        <w:suppressAutoHyphens/>
        <w:spacing w:after="0" w:line="240" w:lineRule="auto"/>
        <w:jc w:val="both"/>
        <w:rPr>
          <w:rFonts w:eastAsia="SimSun" w:cs="Mangal"/>
          <w:kern w:val="1"/>
          <w:sz w:val="24"/>
          <w:szCs w:val="24"/>
          <w:lang w:eastAsia="hi-IN" w:bidi="hi-IN"/>
        </w:rPr>
      </w:pPr>
      <w:r w:rsidRPr="00E00316">
        <w:rPr>
          <w:rFonts w:eastAsia="SimSun" w:cs="Mangal"/>
          <w:kern w:val="1"/>
          <w:sz w:val="24"/>
          <w:szCs w:val="24"/>
          <w:lang w:eastAsia="hi-IN" w:bidi="hi-IN"/>
        </w:rPr>
        <w:t xml:space="preserve">Despite repeated calls to end this practice, on 1 April 2014, 334 prisoners continue to “slop out” in </w:t>
      </w:r>
      <w:r w:rsidRPr="00E00316">
        <w:rPr>
          <w:rFonts w:eastAsia="SimSun" w:cs="Mangal"/>
          <w:kern w:val="1"/>
          <w:sz w:val="24"/>
          <w:szCs w:val="24"/>
          <w:lang w:eastAsia="hi-IN" w:bidi="hi-IN"/>
        </w:rPr>
        <w:lastRenderedPageBreak/>
        <w:t xml:space="preserve">Irish </w:t>
      </w:r>
      <w:r w:rsidR="00952C3B" w:rsidRPr="00E00316">
        <w:rPr>
          <w:rFonts w:eastAsia="SimSun" w:cs="Mangal"/>
          <w:kern w:val="1"/>
          <w:sz w:val="24"/>
          <w:szCs w:val="24"/>
          <w:lang w:eastAsia="hi-IN" w:bidi="hi-IN"/>
        </w:rPr>
        <w:t xml:space="preserve">prisons. </w:t>
      </w:r>
      <w:r w:rsidR="00420504" w:rsidRPr="001A4D79">
        <w:rPr>
          <w:rFonts w:eastAsia="SimSun" w:cs="Times New Roman"/>
          <w:kern w:val="1"/>
          <w:sz w:val="24"/>
          <w:szCs w:val="24"/>
          <w:lang w:eastAsia="hi-IN" w:bidi="hi-IN"/>
        </w:rPr>
        <w:t>A number of prisons within the wider prison estate in Ireland, including Limerick Male Prison and Cork Prison, have attracted negative criticism due to the high numbers of prisoners slopping out, overcrowding, inadequate facilities among other issues</w:t>
      </w:r>
      <w:r w:rsidR="00420504" w:rsidRPr="00E00316">
        <w:rPr>
          <w:rFonts w:eastAsia="Times New Roman" w:cs="Times New Roman"/>
          <w:sz w:val="24"/>
          <w:szCs w:val="24"/>
          <w:vertAlign w:val="superscript"/>
          <w:lang w:val="en-GB" w:eastAsia="en-GB"/>
        </w:rPr>
        <w:footnoteReference w:id="10"/>
      </w:r>
      <w:r w:rsidR="00420504" w:rsidRPr="001A4D79">
        <w:rPr>
          <w:rFonts w:eastAsia="Times New Roman" w:cs="Times New Roman"/>
          <w:sz w:val="24"/>
          <w:szCs w:val="24"/>
          <w:lang w:val="en-GB" w:eastAsia="en-GB"/>
        </w:rPr>
        <w:t>.</w:t>
      </w:r>
      <w:r w:rsidR="00420504">
        <w:rPr>
          <w:rFonts w:eastAsia="Times New Roman" w:cs="Times New Roman"/>
          <w:sz w:val="24"/>
          <w:szCs w:val="24"/>
          <w:lang w:val="en-GB" w:eastAsia="en-GB"/>
        </w:rPr>
        <w:t xml:space="preserve"> </w:t>
      </w:r>
      <w:r w:rsidR="00952C3B" w:rsidRPr="00E00316">
        <w:rPr>
          <w:rFonts w:eastAsia="SimSun" w:cs="Mangal"/>
          <w:kern w:val="1"/>
          <w:sz w:val="24"/>
          <w:szCs w:val="24"/>
          <w:lang w:eastAsia="hi-IN" w:bidi="hi-IN"/>
        </w:rPr>
        <w:t>While we</w:t>
      </w:r>
      <w:r w:rsidRPr="00E00316">
        <w:rPr>
          <w:rFonts w:eastAsia="SimSun" w:cs="Mangal"/>
          <w:kern w:val="1"/>
          <w:sz w:val="24"/>
          <w:szCs w:val="24"/>
          <w:lang w:eastAsia="hi-IN" w:bidi="hi-IN"/>
        </w:rPr>
        <w:t xml:space="preserve"> welcome the </w:t>
      </w:r>
      <w:r w:rsidR="00952C3B" w:rsidRPr="00E00316">
        <w:rPr>
          <w:rFonts w:eastAsia="SimSun" w:cs="Mangal"/>
          <w:kern w:val="1"/>
          <w:sz w:val="24"/>
          <w:szCs w:val="24"/>
          <w:lang w:eastAsia="hi-IN" w:bidi="hi-IN"/>
        </w:rPr>
        <w:t xml:space="preserve">formal </w:t>
      </w:r>
      <w:r w:rsidRPr="00E00316">
        <w:rPr>
          <w:rFonts w:eastAsia="SimSun" w:cs="Mangal"/>
          <w:kern w:val="1"/>
          <w:sz w:val="24"/>
          <w:szCs w:val="24"/>
          <w:lang w:eastAsia="hi-IN" w:bidi="hi-IN"/>
        </w:rPr>
        <w:t xml:space="preserve">commitment in the Reply to the List of Issues to </w:t>
      </w:r>
      <w:r w:rsidR="00952C3B" w:rsidRPr="00E00316">
        <w:rPr>
          <w:rFonts w:eastAsia="SimSun" w:cs="Mangal"/>
          <w:kern w:val="1"/>
          <w:sz w:val="24"/>
          <w:szCs w:val="24"/>
          <w:lang w:eastAsia="hi-IN" w:bidi="hi-IN"/>
        </w:rPr>
        <w:t xml:space="preserve">eliminate slopping out </w:t>
      </w:r>
      <w:r w:rsidR="00B0382B" w:rsidRPr="00E00316">
        <w:rPr>
          <w:rFonts w:eastAsia="SimSun" w:cs="Mangal"/>
          <w:kern w:val="1"/>
          <w:sz w:val="24"/>
          <w:szCs w:val="24"/>
          <w:lang w:eastAsia="hi-IN" w:bidi="hi-IN"/>
        </w:rPr>
        <w:t xml:space="preserve">by 2015, </w:t>
      </w:r>
      <w:r w:rsidR="00420504">
        <w:rPr>
          <w:rFonts w:eastAsia="SimSun" w:cs="Mangal"/>
          <w:kern w:val="1"/>
          <w:sz w:val="24"/>
          <w:szCs w:val="24"/>
          <w:lang w:eastAsia="hi-IN" w:bidi="hi-IN"/>
        </w:rPr>
        <w:t xml:space="preserve">we have noted that </w:t>
      </w:r>
      <w:r w:rsidR="00B0382B" w:rsidRPr="00E00316">
        <w:rPr>
          <w:rFonts w:eastAsia="SimSun" w:cs="Mangal"/>
          <w:kern w:val="1"/>
          <w:sz w:val="24"/>
          <w:szCs w:val="24"/>
          <w:lang w:eastAsia="hi-IN" w:bidi="hi-IN"/>
        </w:rPr>
        <w:t>the I</w:t>
      </w:r>
      <w:r w:rsidR="00420504">
        <w:rPr>
          <w:rFonts w:eastAsia="SimSun" w:cs="Mangal"/>
          <w:kern w:val="1"/>
          <w:sz w:val="24"/>
          <w:szCs w:val="24"/>
          <w:lang w:eastAsia="hi-IN" w:bidi="hi-IN"/>
        </w:rPr>
        <w:t xml:space="preserve">rish </w:t>
      </w:r>
      <w:r w:rsidR="00B0382B" w:rsidRPr="00E00316">
        <w:rPr>
          <w:rFonts w:eastAsia="SimSun" w:cs="Mangal"/>
          <w:kern w:val="1"/>
          <w:sz w:val="24"/>
          <w:szCs w:val="24"/>
          <w:lang w:eastAsia="hi-IN" w:bidi="hi-IN"/>
        </w:rPr>
        <w:t>P</w:t>
      </w:r>
      <w:r w:rsidR="00420504">
        <w:rPr>
          <w:rFonts w:eastAsia="SimSun" w:cs="Mangal"/>
          <w:kern w:val="1"/>
          <w:sz w:val="24"/>
          <w:szCs w:val="24"/>
          <w:lang w:eastAsia="hi-IN" w:bidi="hi-IN"/>
        </w:rPr>
        <w:t xml:space="preserve">rison </w:t>
      </w:r>
      <w:r w:rsidR="00B0382B" w:rsidRPr="00E00316">
        <w:rPr>
          <w:rFonts w:eastAsia="SimSun" w:cs="Mangal"/>
          <w:kern w:val="1"/>
          <w:sz w:val="24"/>
          <w:szCs w:val="24"/>
          <w:lang w:eastAsia="hi-IN" w:bidi="hi-IN"/>
        </w:rPr>
        <w:t>S</w:t>
      </w:r>
      <w:r w:rsidR="00420504">
        <w:rPr>
          <w:rFonts w:eastAsia="SimSun" w:cs="Mangal"/>
          <w:kern w:val="1"/>
          <w:sz w:val="24"/>
          <w:szCs w:val="24"/>
          <w:lang w:eastAsia="hi-IN" w:bidi="hi-IN"/>
        </w:rPr>
        <w:t>ervice</w:t>
      </w:r>
      <w:r w:rsidR="00B0382B" w:rsidRPr="00E00316">
        <w:rPr>
          <w:rFonts w:eastAsia="SimSun" w:cs="Mangal"/>
          <w:kern w:val="1"/>
          <w:sz w:val="24"/>
          <w:szCs w:val="24"/>
          <w:lang w:eastAsia="hi-IN" w:bidi="hi-IN"/>
        </w:rPr>
        <w:t xml:space="preserve"> has been recently reported as describing the abolition of the practice in </w:t>
      </w:r>
      <w:proofErr w:type="spellStart"/>
      <w:r w:rsidR="00B0382B" w:rsidRPr="00E00316">
        <w:rPr>
          <w:rFonts w:eastAsia="SimSun" w:cs="Mangal"/>
          <w:kern w:val="1"/>
          <w:sz w:val="24"/>
          <w:szCs w:val="24"/>
          <w:lang w:eastAsia="hi-IN" w:bidi="hi-IN"/>
        </w:rPr>
        <w:t>Portlaoise</w:t>
      </w:r>
      <w:proofErr w:type="spellEnd"/>
      <w:r w:rsidR="00B0382B" w:rsidRPr="00E00316">
        <w:rPr>
          <w:rFonts w:eastAsia="SimSun" w:cs="Mangal"/>
          <w:kern w:val="1"/>
          <w:sz w:val="24"/>
          <w:szCs w:val="24"/>
          <w:lang w:eastAsia="hi-IN" w:bidi="hi-IN"/>
        </w:rPr>
        <w:t xml:space="preserve"> prison as “capital dependent”</w:t>
      </w:r>
      <w:r w:rsidR="00B0382B" w:rsidRPr="00E00316">
        <w:rPr>
          <w:rStyle w:val="FootnoteReference"/>
          <w:rFonts w:eastAsia="SimSun" w:cs="Mangal"/>
          <w:kern w:val="1"/>
          <w:sz w:val="24"/>
          <w:szCs w:val="24"/>
          <w:lang w:eastAsia="hi-IN" w:bidi="hi-IN"/>
        </w:rPr>
        <w:footnoteReference w:id="11"/>
      </w:r>
      <w:r w:rsidR="00B0382B" w:rsidRPr="00E00316">
        <w:rPr>
          <w:rFonts w:eastAsia="SimSun" w:cs="Mangal"/>
          <w:kern w:val="1"/>
          <w:sz w:val="24"/>
          <w:szCs w:val="24"/>
          <w:lang w:eastAsia="hi-IN" w:bidi="hi-IN"/>
        </w:rPr>
        <w:t xml:space="preserve">. IPRT strongly opposes any move away from the express commitment provided in the formal Reply.  </w:t>
      </w:r>
    </w:p>
    <w:p w:rsidR="0066767D" w:rsidRPr="00E00316" w:rsidRDefault="0066767D" w:rsidP="00E00316">
      <w:pPr>
        <w:widowControl w:val="0"/>
        <w:suppressAutoHyphens/>
        <w:spacing w:after="0" w:line="240" w:lineRule="auto"/>
        <w:ind w:left="57"/>
        <w:jc w:val="both"/>
        <w:rPr>
          <w:rFonts w:eastAsia="SimSun" w:cs="Mangal"/>
          <w:b/>
          <w:kern w:val="1"/>
          <w:sz w:val="24"/>
          <w:szCs w:val="24"/>
          <w:lang w:eastAsia="hi-IN" w:bidi="hi-IN"/>
        </w:rPr>
      </w:pPr>
    </w:p>
    <w:p w:rsidR="0066767D" w:rsidRPr="00E00316" w:rsidRDefault="00B0382B" w:rsidP="00E00316">
      <w:pPr>
        <w:widowControl w:val="0"/>
        <w:suppressAutoHyphens/>
        <w:spacing w:after="0" w:line="240" w:lineRule="auto"/>
        <w:jc w:val="both"/>
        <w:rPr>
          <w:rFonts w:eastAsia="SimSun" w:cs="Mangal"/>
          <w:b/>
          <w:kern w:val="1"/>
          <w:sz w:val="24"/>
          <w:szCs w:val="24"/>
          <w:u w:val="single"/>
          <w:lang w:eastAsia="hi-IN" w:bidi="hi-IN"/>
        </w:rPr>
      </w:pPr>
      <w:r w:rsidRPr="00E00316">
        <w:rPr>
          <w:rFonts w:eastAsia="SimSun" w:cs="Mangal"/>
          <w:b/>
          <w:kern w:val="1"/>
          <w:sz w:val="24"/>
          <w:szCs w:val="24"/>
          <w:u w:val="single"/>
          <w:lang w:eastAsia="hi-IN" w:bidi="hi-IN"/>
        </w:rPr>
        <w:t xml:space="preserve">Mortality Rate in Prisons [Reply to List of Issues; para 13; Joint Submission </w:t>
      </w:r>
      <w:proofErr w:type="spellStart"/>
      <w:r w:rsidRPr="00E00316">
        <w:rPr>
          <w:rFonts w:eastAsia="SimSun" w:cs="Mangal"/>
          <w:b/>
          <w:kern w:val="1"/>
          <w:sz w:val="24"/>
          <w:szCs w:val="24"/>
          <w:u w:val="single"/>
          <w:lang w:eastAsia="hi-IN" w:bidi="hi-IN"/>
        </w:rPr>
        <w:t>pg</w:t>
      </w:r>
      <w:proofErr w:type="spellEnd"/>
      <w:r w:rsidRPr="00E00316">
        <w:rPr>
          <w:rFonts w:eastAsia="SimSun" w:cs="Mangal"/>
          <w:b/>
          <w:kern w:val="1"/>
          <w:sz w:val="24"/>
          <w:szCs w:val="24"/>
          <w:u w:val="single"/>
          <w:lang w:eastAsia="hi-IN" w:bidi="hi-IN"/>
        </w:rPr>
        <w:t xml:space="preserve"> 28]</w:t>
      </w:r>
    </w:p>
    <w:p w:rsidR="00B0382B" w:rsidRPr="00E00316" w:rsidRDefault="00B0382B" w:rsidP="00E00316">
      <w:pPr>
        <w:widowControl w:val="0"/>
        <w:suppressAutoHyphens/>
        <w:spacing w:after="0" w:line="240" w:lineRule="auto"/>
        <w:jc w:val="both"/>
        <w:rPr>
          <w:rFonts w:eastAsia="SimSun" w:cs="Mangal"/>
          <w:b/>
          <w:kern w:val="1"/>
          <w:sz w:val="24"/>
          <w:szCs w:val="24"/>
          <w:lang w:eastAsia="hi-IN" w:bidi="hi-IN"/>
        </w:rPr>
      </w:pPr>
    </w:p>
    <w:p w:rsidR="00B0382B" w:rsidRPr="00E00316" w:rsidRDefault="00B0382B" w:rsidP="00E00316">
      <w:pPr>
        <w:widowControl w:val="0"/>
        <w:suppressAutoHyphens/>
        <w:spacing w:after="0" w:line="240" w:lineRule="auto"/>
        <w:jc w:val="both"/>
        <w:rPr>
          <w:rFonts w:eastAsia="SimSun" w:cs="Mangal"/>
          <w:kern w:val="1"/>
          <w:sz w:val="24"/>
          <w:szCs w:val="24"/>
          <w:lang w:eastAsia="hi-IN" w:bidi="hi-IN"/>
        </w:rPr>
      </w:pPr>
      <w:r w:rsidRPr="00E00316">
        <w:rPr>
          <w:rFonts w:eastAsia="SimSun" w:cs="Mangal"/>
          <w:kern w:val="1"/>
          <w:sz w:val="24"/>
          <w:szCs w:val="24"/>
          <w:lang w:eastAsia="hi-IN" w:bidi="hi-IN"/>
        </w:rPr>
        <w:t xml:space="preserve">The Report of the Commission of Investigation into the Death of Gary </w:t>
      </w:r>
      <w:proofErr w:type="spellStart"/>
      <w:r w:rsidRPr="00E00316">
        <w:rPr>
          <w:rFonts w:eastAsia="SimSun" w:cs="Mangal"/>
          <w:kern w:val="1"/>
          <w:sz w:val="24"/>
          <w:szCs w:val="24"/>
          <w:lang w:eastAsia="hi-IN" w:bidi="hi-IN"/>
        </w:rPr>
        <w:t>Douch</w:t>
      </w:r>
      <w:proofErr w:type="spellEnd"/>
      <w:r w:rsidRPr="00E00316">
        <w:rPr>
          <w:rFonts w:eastAsia="SimSun" w:cs="Mangal"/>
          <w:kern w:val="1"/>
          <w:sz w:val="24"/>
          <w:szCs w:val="24"/>
          <w:lang w:eastAsia="hi-IN" w:bidi="hi-IN"/>
        </w:rPr>
        <w:t xml:space="preserve"> was published on 1st May 2014 exactly 7 years and 9 months after the young man’s brutal death in </w:t>
      </w:r>
      <w:proofErr w:type="spellStart"/>
      <w:r w:rsidRPr="00E00316">
        <w:rPr>
          <w:rFonts w:eastAsia="SimSun" w:cs="Mangal"/>
          <w:kern w:val="1"/>
          <w:sz w:val="24"/>
          <w:szCs w:val="24"/>
          <w:lang w:eastAsia="hi-IN" w:bidi="hi-IN"/>
        </w:rPr>
        <w:t>Mountjoy</w:t>
      </w:r>
      <w:proofErr w:type="spellEnd"/>
      <w:r w:rsidRPr="00E00316">
        <w:rPr>
          <w:rFonts w:eastAsia="SimSun" w:cs="Mangal"/>
          <w:kern w:val="1"/>
          <w:sz w:val="24"/>
          <w:szCs w:val="24"/>
          <w:lang w:eastAsia="hi-IN" w:bidi="hi-IN"/>
        </w:rPr>
        <w:t xml:space="preserve"> Prison on 1st August 2006. IPRT strongly believes that investigations into deaths in custody must be prompt so that any systemic failures that led to the death of a prisoner can be addressed, and potential future deaths can be avoided. In this case, the family of Gary </w:t>
      </w:r>
      <w:proofErr w:type="spellStart"/>
      <w:r w:rsidRPr="00E00316">
        <w:rPr>
          <w:rFonts w:eastAsia="SimSun" w:cs="Mangal"/>
          <w:kern w:val="1"/>
          <w:sz w:val="24"/>
          <w:szCs w:val="24"/>
          <w:lang w:eastAsia="hi-IN" w:bidi="hi-IN"/>
        </w:rPr>
        <w:t>Douch</w:t>
      </w:r>
      <w:proofErr w:type="spellEnd"/>
      <w:r w:rsidRPr="00E00316">
        <w:rPr>
          <w:rFonts w:eastAsia="SimSun" w:cs="Mangal"/>
          <w:kern w:val="1"/>
          <w:sz w:val="24"/>
          <w:szCs w:val="24"/>
          <w:lang w:eastAsia="hi-IN" w:bidi="hi-IN"/>
        </w:rPr>
        <w:t xml:space="preserve"> has waited almost eight years for this report: by any standards such a delay is completely unacceptable.</w:t>
      </w:r>
    </w:p>
    <w:p w:rsidR="00B0382B" w:rsidRPr="00E00316" w:rsidRDefault="00B0382B" w:rsidP="00E00316">
      <w:pPr>
        <w:widowControl w:val="0"/>
        <w:suppressAutoHyphens/>
        <w:spacing w:after="0" w:line="240" w:lineRule="auto"/>
        <w:jc w:val="both"/>
        <w:rPr>
          <w:rFonts w:eastAsia="SimSun" w:cs="Mangal"/>
          <w:kern w:val="1"/>
          <w:sz w:val="24"/>
          <w:szCs w:val="24"/>
          <w:lang w:eastAsia="hi-IN" w:bidi="hi-IN"/>
        </w:rPr>
      </w:pPr>
    </w:p>
    <w:p w:rsidR="00B0382B" w:rsidRPr="00E00316" w:rsidRDefault="00B0382B" w:rsidP="00E00316">
      <w:pPr>
        <w:widowControl w:val="0"/>
        <w:suppressAutoHyphens/>
        <w:spacing w:after="0" w:line="240" w:lineRule="auto"/>
        <w:jc w:val="both"/>
        <w:rPr>
          <w:rFonts w:eastAsia="SimSun" w:cs="Mangal"/>
          <w:i/>
          <w:kern w:val="1"/>
          <w:sz w:val="24"/>
          <w:szCs w:val="24"/>
          <w:lang w:eastAsia="hi-IN" w:bidi="hi-IN"/>
        </w:rPr>
      </w:pPr>
      <w:r w:rsidRPr="00E00316">
        <w:rPr>
          <w:rFonts w:eastAsia="SimSun" w:cs="Mangal"/>
          <w:kern w:val="1"/>
          <w:sz w:val="24"/>
          <w:szCs w:val="24"/>
          <w:lang w:eastAsia="hi-IN" w:bidi="hi-IN"/>
        </w:rPr>
        <w:t xml:space="preserve">System failures, severe overcrowding, inadequate oversight, and inaccurate recording and sharing of critical information were among the litany of failures identified by the Commission. The Commission found </w:t>
      </w:r>
      <w:r w:rsidRPr="00E00316">
        <w:rPr>
          <w:rFonts w:eastAsia="SimSun" w:cs="Mangal"/>
          <w:i/>
          <w:kern w:val="1"/>
          <w:sz w:val="24"/>
          <w:szCs w:val="24"/>
          <w:lang w:eastAsia="hi-IN" w:bidi="hi-IN"/>
        </w:rPr>
        <w:t>“reckless disregard for the health and safety”</w:t>
      </w:r>
      <w:r w:rsidRPr="00E00316">
        <w:rPr>
          <w:rFonts w:eastAsia="SimSun" w:cs="Mangal"/>
          <w:kern w:val="1"/>
          <w:sz w:val="24"/>
          <w:szCs w:val="24"/>
          <w:lang w:eastAsia="hi-IN" w:bidi="hi-IN"/>
        </w:rPr>
        <w:t xml:space="preserve"> of prisoners and staff alike in the decision taken by </w:t>
      </w:r>
      <w:proofErr w:type="spellStart"/>
      <w:r w:rsidRPr="00E00316">
        <w:rPr>
          <w:rFonts w:eastAsia="SimSun" w:cs="Mangal"/>
          <w:kern w:val="1"/>
          <w:sz w:val="24"/>
          <w:szCs w:val="24"/>
          <w:lang w:eastAsia="hi-IN" w:bidi="hi-IN"/>
        </w:rPr>
        <w:t>Cloverhill</w:t>
      </w:r>
      <w:proofErr w:type="spellEnd"/>
      <w:r w:rsidRPr="00E00316">
        <w:rPr>
          <w:rFonts w:eastAsia="SimSun" w:cs="Mangal"/>
          <w:kern w:val="1"/>
          <w:sz w:val="24"/>
          <w:szCs w:val="24"/>
          <w:lang w:eastAsia="hi-IN" w:bidi="hi-IN"/>
        </w:rPr>
        <w:t xml:space="preserve"> Prison to transfer a prisoner who had been assessed by a Central Mental Hospital treatment psychiatrist as “acutely psychotic” to </w:t>
      </w:r>
      <w:proofErr w:type="spellStart"/>
      <w:r w:rsidRPr="00E00316">
        <w:rPr>
          <w:rFonts w:eastAsia="SimSun" w:cs="Mangal"/>
          <w:kern w:val="1"/>
          <w:sz w:val="24"/>
          <w:szCs w:val="24"/>
          <w:lang w:eastAsia="hi-IN" w:bidi="hi-IN"/>
        </w:rPr>
        <w:t>Mountjoy</w:t>
      </w:r>
      <w:proofErr w:type="spellEnd"/>
      <w:r w:rsidRPr="00E00316">
        <w:rPr>
          <w:rFonts w:eastAsia="SimSun" w:cs="Mangal"/>
          <w:kern w:val="1"/>
          <w:sz w:val="24"/>
          <w:szCs w:val="24"/>
          <w:lang w:eastAsia="hi-IN" w:bidi="hi-IN"/>
        </w:rPr>
        <w:t xml:space="preserve"> Prison. The State failed in its duty to provide safe custody to 21-year old prisoner Gary Douche and </w:t>
      </w:r>
      <w:r w:rsidR="009828CC" w:rsidRPr="00E00316">
        <w:rPr>
          <w:rFonts w:eastAsia="SimSun" w:cs="Mangal"/>
          <w:kern w:val="1"/>
          <w:sz w:val="24"/>
          <w:szCs w:val="24"/>
          <w:lang w:eastAsia="hi-IN" w:bidi="hi-IN"/>
        </w:rPr>
        <w:t xml:space="preserve">the Report found </w:t>
      </w:r>
      <w:r w:rsidRPr="00E00316">
        <w:rPr>
          <w:rFonts w:eastAsia="SimSun" w:cs="Mangal"/>
          <w:kern w:val="1"/>
          <w:sz w:val="24"/>
          <w:szCs w:val="24"/>
          <w:lang w:eastAsia="hi-IN" w:bidi="hi-IN"/>
        </w:rPr>
        <w:t>it was “</w:t>
      </w:r>
      <w:r w:rsidRPr="00E00316">
        <w:rPr>
          <w:rFonts w:eastAsia="SimSun" w:cs="Mangal"/>
          <w:i/>
          <w:kern w:val="1"/>
          <w:sz w:val="24"/>
          <w:szCs w:val="24"/>
          <w:lang w:eastAsia="hi-IN" w:bidi="hi-IN"/>
        </w:rPr>
        <w:t xml:space="preserve">impossible not to </w:t>
      </w:r>
      <w:r w:rsidR="00420504">
        <w:rPr>
          <w:rFonts w:eastAsia="SimSun" w:cs="Mangal"/>
          <w:i/>
          <w:kern w:val="1"/>
          <w:sz w:val="24"/>
          <w:szCs w:val="24"/>
          <w:lang w:eastAsia="hi-IN" w:bidi="hi-IN"/>
        </w:rPr>
        <w:t>conclude that flawed management</w:t>
      </w:r>
      <w:r w:rsidRPr="00E00316">
        <w:rPr>
          <w:rFonts w:eastAsia="SimSun" w:cs="Mangal"/>
          <w:i/>
          <w:kern w:val="1"/>
          <w:sz w:val="24"/>
          <w:szCs w:val="24"/>
          <w:lang w:eastAsia="hi-IN" w:bidi="hi-IN"/>
        </w:rPr>
        <w:t>, poor decision-making, lack of accountability and a culture of inattentiveness prevailed throughout the system.”</w:t>
      </w:r>
    </w:p>
    <w:p w:rsidR="00B0382B" w:rsidRPr="00E00316" w:rsidRDefault="00B0382B" w:rsidP="00E00316">
      <w:pPr>
        <w:widowControl w:val="0"/>
        <w:suppressAutoHyphens/>
        <w:spacing w:after="0" w:line="240" w:lineRule="auto"/>
        <w:jc w:val="both"/>
        <w:rPr>
          <w:rFonts w:eastAsia="SimSun" w:cs="Mangal"/>
          <w:kern w:val="1"/>
          <w:sz w:val="24"/>
          <w:szCs w:val="24"/>
          <w:lang w:eastAsia="hi-IN" w:bidi="hi-IN"/>
        </w:rPr>
      </w:pPr>
    </w:p>
    <w:p w:rsidR="00B0382B" w:rsidRPr="00E00316" w:rsidRDefault="002A2410" w:rsidP="00E00316">
      <w:pPr>
        <w:widowControl w:val="0"/>
        <w:suppressAutoHyphens/>
        <w:spacing w:after="0" w:line="240" w:lineRule="auto"/>
        <w:jc w:val="both"/>
        <w:rPr>
          <w:rFonts w:eastAsia="SimSun" w:cs="Mangal"/>
          <w:kern w:val="1"/>
          <w:sz w:val="24"/>
          <w:szCs w:val="24"/>
          <w:lang w:eastAsia="hi-IN" w:bidi="hi-IN"/>
        </w:rPr>
      </w:pPr>
      <w:r w:rsidRPr="00E00316">
        <w:rPr>
          <w:rFonts w:eastAsia="SimSun" w:cs="Mangal"/>
          <w:kern w:val="1"/>
          <w:sz w:val="24"/>
          <w:szCs w:val="24"/>
          <w:lang w:eastAsia="hi-IN" w:bidi="hi-IN"/>
        </w:rPr>
        <w:t xml:space="preserve">The appalling findings of the report again underline the need for Ireland to </w:t>
      </w:r>
      <w:r w:rsidR="009828CC" w:rsidRPr="00E00316">
        <w:rPr>
          <w:rFonts w:eastAsia="SimSun" w:cs="Mangal"/>
          <w:kern w:val="1"/>
          <w:sz w:val="24"/>
          <w:szCs w:val="24"/>
          <w:lang w:eastAsia="hi-IN" w:bidi="hi-IN"/>
        </w:rPr>
        <w:t xml:space="preserve">(1) maintain and impose safe custody limits (2) divert those with mental illness away from the criminal justice system and towards a community setting (3) </w:t>
      </w:r>
      <w:r w:rsidRPr="00E00316">
        <w:rPr>
          <w:rFonts w:eastAsia="SimSun" w:cs="Mangal"/>
          <w:kern w:val="1"/>
          <w:sz w:val="24"/>
          <w:szCs w:val="24"/>
          <w:lang w:eastAsia="hi-IN" w:bidi="hi-IN"/>
        </w:rPr>
        <w:t>ratify the Optional Protocol to th</w:t>
      </w:r>
      <w:r w:rsidR="009828CC" w:rsidRPr="00E00316">
        <w:rPr>
          <w:rFonts w:eastAsia="SimSun" w:cs="Mangal"/>
          <w:kern w:val="1"/>
          <w:sz w:val="24"/>
          <w:szCs w:val="24"/>
          <w:lang w:eastAsia="hi-IN" w:bidi="hi-IN"/>
        </w:rPr>
        <w:t>e Convention Against Torture and (4)</w:t>
      </w:r>
      <w:r w:rsidR="006E7BCB" w:rsidRPr="00E00316">
        <w:rPr>
          <w:rFonts w:eastAsia="SimSun" w:cs="Mangal"/>
          <w:kern w:val="1"/>
          <w:sz w:val="24"/>
          <w:szCs w:val="24"/>
          <w:lang w:eastAsia="hi-IN" w:bidi="hi-IN"/>
        </w:rPr>
        <w:t xml:space="preserve"> establish</w:t>
      </w:r>
      <w:r w:rsidR="009828CC" w:rsidRPr="00E00316">
        <w:rPr>
          <w:rFonts w:eastAsia="SimSun" w:cs="Mangal"/>
          <w:kern w:val="1"/>
          <w:sz w:val="24"/>
          <w:szCs w:val="24"/>
          <w:lang w:eastAsia="hi-IN" w:bidi="hi-IN"/>
        </w:rPr>
        <w:t xml:space="preserve"> a National Preventative Mechan</w:t>
      </w:r>
      <w:r w:rsidR="006E7BCB" w:rsidRPr="00E00316">
        <w:rPr>
          <w:rFonts w:eastAsia="SimSun" w:cs="Mangal"/>
          <w:kern w:val="1"/>
          <w:sz w:val="24"/>
          <w:szCs w:val="24"/>
          <w:lang w:eastAsia="hi-IN" w:bidi="hi-IN"/>
        </w:rPr>
        <w:t>i</w:t>
      </w:r>
      <w:r w:rsidR="009828CC" w:rsidRPr="00E00316">
        <w:rPr>
          <w:rFonts w:eastAsia="SimSun" w:cs="Mangal"/>
          <w:kern w:val="1"/>
          <w:sz w:val="24"/>
          <w:szCs w:val="24"/>
          <w:lang w:eastAsia="hi-IN" w:bidi="hi-IN"/>
        </w:rPr>
        <w:t>s</w:t>
      </w:r>
      <w:r w:rsidR="006E7BCB" w:rsidRPr="00E00316">
        <w:rPr>
          <w:rFonts w:eastAsia="SimSun" w:cs="Mangal"/>
          <w:kern w:val="1"/>
          <w:sz w:val="24"/>
          <w:szCs w:val="24"/>
          <w:lang w:eastAsia="hi-IN" w:bidi="hi-IN"/>
        </w:rPr>
        <w:t>m in order to prevent f</w:t>
      </w:r>
      <w:r w:rsidR="009828CC" w:rsidRPr="00E00316">
        <w:rPr>
          <w:rFonts w:eastAsia="SimSun" w:cs="Mangal"/>
          <w:kern w:val="1"/>
          <w:sz w:val="24"/>
          <w:szCs w:val="24"/>
          <w:lang w:eastAsia="hi-IN" w:bidi="hi-IN"/>
        </w:rPr>
        <w:t xml:space="preserve">uture deaths in prison custody in similar circumstances. </w:t>
      </w:r>
    </w:p>
    <w:p w:rsidR="00B0382B" w:rsidRPr="00E00316" w:rsidRDefault="00B0382B" w:rsidP="00E00316">
      <w:pPr>
        <w:widowControl w:val="0"/>
        <w:suppressAutoHyphens/>
        <w:spacing w:after="0" w:line="240" w:lineRule="auto"/>
        <w:ind w:left="57"/>
        <w:jc w:val="both"/>
        <w:rPr>
          <w:rFonts w:eastAsia="SimSun" w:cs="Mangal"/>
          <w:b/>
          <w:kern w:val="1"/>
          <w:sz w:val="24"/>
          <w:szCs w:val="24"/>
          <w:lang w:eastAsia="hi-IN" w:bidi="hi-IN"/>
        </w:rPr>
      </w:pPr>
    </w:p>
    <w:p w:rsidR="003A33A7" w:rsidRPr="00E00316" w:rsidRDefault="003A33A7" w:rsidP="00E00316">
      <w:pPr>
        <w:widowControl w:val="0"/>
        <w:suppressAutoHyphens/>
        <w:spacing w:after="0" w:line="240" w:lineRule="auto"/>
        <w:jc w:val="both"/>
        <w:rPr>
          <w:rFonts w:eastAsia="SimSun" w:cs="Mangal"/>
          <w:b/>
          <w:kern w:val="1"/>
          <w:sz w:val="24"/>
          <w:szCs w:val="24"/>
          <w:u w:val="single"/>
          <w:lang w:eastAsia="hi-IN" w:bidi="hi-IN"/>
        </w:rPr>
      </w:pPr>
      <w:r w:rsidRPr="00E00316">
        <w:rPr>
          <w:rFonts w:eastAsia="SimSun" w:cs="Mangal"/>
          <w:b/>
          <w:kern w:val="1"/>
          <w:sz w:val="24"/>
          <w:szCs w:val="24"/>
          <w:u w:val="single"/>
          <w:lang w:eastAsia="hi-IN" w:bidi="hi-IN"/>
        </w:rPr>
        <w:t xml:space="preserve">Timeline for </w:t>
      </w:r>
      <w:proofErr w:type="gramStart"/>
      <w:r w:rsidRPr="00E00316">
        <w:rPr>
          <w:rFonts w:eastAsia="SimSun" w:cs="Mangal"/>
          <w:b/>
          <w:kern w:val="1"/>
          <w:sz w:val="24"/>
          <w:szCs w:val="24"/>
          <w:u w:val="single"/>
          <w:lang w:eastAsia="hi-IN" w:bidi="hi-IN"/>
        </w:rPr>
        <w:t>Ending</w:t>
      </w:r>
      <w:proofErr w:type="gramEnd"/>
      <w:r w:rsidRPr="00E00316">
        <w:rPr>
          <w:rFonts w:eastAsia="SimSun" w:cs="Mangal"/>
          <w:b/>
          <w:kern w:val="1"/>
          <w:sz w:val="24"/>
          <w:szCs w:val="24"/>
          <w:u w:val="single"/>
          <w:lang w:eastAsia="hi-IN" w:bidi="hi-IN"/>
        </w:rPr>
        <w:t xml:space="preserve"> the use of St. Patrick’s Institution for detention of minors [Reply to List of Issues para 13, Joint Submission page 30]</w:t>
      </w:r>
    </w:p>
    <w:p w:rsidR="003A33A7" w:rsidRPr="00E00316" w:rsidRDefault="003A33A7" w:rsidP="00E00316">
      <w:pPr>
        <w:widowControl w:val="0"/>
        <w:suppressAutoHyphens/>
        <w:spacing w:after="0" w:line="240" w:lineRule="auto"/>
        <w:jc w:val="both"/>
        <w:rPr>
          <w:rFonts w:eastAsia="SimSun" w:cs="Mangal"/>
          <w:kern w:val="1"/>
          <w:sz w:val="24"/>
          <w:szCs w:val="24"/>
          <w:lang w:eastAsia="hi-IN" w:bidi="hi-IN"/>
        </w:rPr>
      </w:pPr>
    </w:p>
    <w:p w:rsidR="00F01087" w:rsidRPr="001A4D79" w:rsidRDefault="00F01087" w:rsidP="00E00316">
      <w:pPr>
        <w:widowControl w:val="0"/>
        <w:suppressAutoHyphens/>
        <w:spacing w:after="0" w:line="240" w:lineRule="auto"/>
        <w:jc w:val="both"/>
        <w:rPr>
          <w:rFonts w:eastAsia="SimSun" w:cs="Mangal"/>
          <w:kern w:val="1"/>
          <w:sz w:val="24"/>
          <w:szCs w:val="24"/>
          <w:lang w:eastAsia="hi-IN" w:bidi="hi-IN"/>
        </w:rPr>
      </w:pPr>
      <w:r w:rsidRPr="001A4D79">
        <w:rPr>
          <w:rFonts w:eastAsia="SimSun" w:cs="Mangal"/>
          <w:kern w:val="1"/>
          <w:sz w:val="24"/>
          <w:szCs w:val="24"/>
          <w:lang w:eastAsia="hi-IN" w:bidi="hi-IN"/>
        </w:rPr>
        <w:t xml:space="preserve">The detention of children in St Patrick’s Institution, an adult prison, has been criticised as a glaring human rights violation by a number of domestic and international bodies, in direct contravention with Article 37 of the UN Convention on the Rights of the Child. The decision to close St Patrick’s Institution is a positive and long overdue development. </w:t>
      </w:r>
    </w:p>
    <w:p w:rsidR="00F01087" w:rsidRPr="001A4D79" w:rsidRDefault="00F01087" w:rsidP="00E00316">
      <w:pPr>
        <w:widowControl w:val="0"/>
        <w:suppressAutoHyphens/>
        <w:spacing w:after="0" w:line="240" w:lineRule="auto"/>
        <w:jc w:val="both"/>
        <w:rPr>
          <w:rFonts w:eastAsia="SimSun" w:cs="Mangal"/>
          <w:kern w:val="1"/>
          <w:sz w:val="24"/>
          <w:szCs w:val="24"/>
          <w:lang w:eastAsia="hi-IN" w:bidi="hi-IN"/>
        </w:rPr>
      </w:pPr>
    </w:p>
    <w:p w:rsidR="00F01087" w:rsidRPr="001A4D79" w:rsidRDefault="00F01087" w:rsidP="00E00316">
      <w:pPr>
        <w:widowControl w:val="0"/>
        <w:suppressAutoHyphens/>
        <w:spacing w:after="0" w:line="240" w:lineRule="auto"/>
        <w:jc w:val="both"/>
        <w:rPr>
          <w:rFonts w:eastAsia="SimSun" w:cs="Mangal"/>
          <w:kern w:val="1"/>
          <w:sz w:val="24"/>
          <w:szCs w:val="24"/>
          <w:lang w:eastAsia="hi-IN" w:bidi="hi-IN"/>
        </w:rPr>
      </w:pPr>
      <w:r w:rsidRPr="001A4D79">
        <w:rPr>
          <w:rFonts w:eastAsia="SimSun" w:cs="Mangal"/>
          <w:kern w:val="1"/>
          <w:sz w:val="24"/>
          <w:szCs w:val="24"/>
          <w:lang w:eastAsia="hi-IN" w:bidi="hi-IN"/>
        </w:rPr>
        <w:t xml:space="preserve">Building work at the </w:t>
      </w:r>
      <w:proofErr w:type="spellStart"/>
      <w:r w:rsidRPr="001A4D79">
        <w:rPr>
          <w:rFonts w:eastAsia="SimSun" w:cs="Mangal"/>
          <w:kern w:val="1"/>
          <w:sz w:val="24"/>
          <w:szCs w:val="24"/>
          <w:lang w:eastAsia="hi-IN" w:bidi="hi-IN"/>
        </w:rPr>
        <w:t>Oberstown</w:t>
      </w:r>
      <w:proofErr w:type="spellEnd"/>
      <w:r w:rsidRPr="001A4D79">
        <w:rPr>
          <w:rFonts w:eastAsia="SimSun" w:cs="Mangal"/>
          <w:kern w:val="1"/>
          <w:sz w:val="24"/>
          <w:szCs w:val="24"/>
          <w:lang w:eastAsia="hi-IN" w:bidi="hi-IN"/>
        </w:rPr>
        <w:t xml:space="preserve"> campus to facilitate the transfer of all detained 17-year olds is expected to be complete during 2014. The transfer of sentenced 17-year olds to an interim unit in Wheatfield Prison (completed in December 2013) must be a temporary, short-term measure. An adult prison, even one where a dedicated unit has been put in place, is entirely unsuitable for young people. </w:t>
      </w:r>
    </w:p>
    <w:p w:rsidR="00F01087" w:rsidRPr="001A4D79" w:rsidRDefault="00F01087" w:rsidP="00E00316">
      <w:pPr>
        <w:widowControl w:val="0"/>
        <w:suppressAutoHyphens/>
        <w:spacing w:after="0" w:line="240" w:lineRule="auto"/>
        <w:jc w:val="both"/>
        <w:rPr>
          <w:rFonts w:eastAsia="SimSun" w:cs="Mangal"/>
          <w:kern w:val="1"/>
          <w:sz w:val="24"/>
          <w:szCs w:val="24"/>
          <w:lang w:eastAsia="hi-IN" w:bidi="hi-IN"/>
        </w:rPr>
      </w:pPr>
    </w:p>
    <w:p w:rsidR="003164AA" w:rsidRPr="00E00316" w:rsidRDefault="00F01087" w:rsidP="00E00316">
      <w:pPr>
        <w:widowControl w:val="0"/>
        <w:suppressAutoHyphens/>
        <w:spacing w:after="0" w:line="240" w:lineRule="auto"/>
        <w:jc w:val="both"/>
        <w:rPr>
          <w:rFonts w:eastAsia="SimSun" w:cs="Mangal"/>
          <w:kern w:val="1"/>
          <w:sz w:val="24"/>
          <w:szCs w:val="24"/>
          <w:lang w:eastAsia="hi-IN" w:bidi="hi-IN"/>
        </w:rPr>
      </w:pPr>
      <w:r w:rsidRPr="001A4D79">
        <w:rPr>
          <w:rFonts w:eastAsia="SimSun" w:cs="Mangal"/>
          <w:kern w:val="1"/>
          <w:sz w:val="24"/>
          <w:szCs w:val="24"/>
          <w:lang w:eastAsia="hi-IN" w:bidi="hi-IN"/>
        </w:rPr>
        <w:t>A</w:t>
      </w:r>
      <w:r w:rsidRPr="001A4D79">
        <w:rPr>
          <w:rFonts w:eastAsia="Times New Roman" w:cs="Times New Roman"/>
          <w:bCs/>
          <w:sz w:val="24"/>
          <w:szCs w:val="24"/>
          <w:lang w:val="en-GB" w:eastAsia="en-GB"/>
        </w:rPr>
        <w:t xml:space="preserve"> small number of 17-year olds are still detained under remand in St. Patrick’s Institution</w:t>
      </w:r>
      <w:r w:rsidRPr="001A4D79">
        <w:rPr>
          <w:rFonts w:eastAsia="SimSun" w:cs="Mangal"/>
          <w:kern w:val="1"/>
          <w:sz w:val="24"/>
          <w:szCs w:val="24"/>
          <w:lang w:eastAsia="hi-IN" w:bidi="hi-IN"/>
        </w:rPr>
        <w:t xml:space="preserve">. Given </w:t>
      </w:r>
      <w:r w:rsidRPr="001A4D79">
        <w:rPr>
          <w:rFonts w:eastAsia="SimSun" w:cs="Mangal"/>
          <w:kern w:val="1"/>
          <w:sz w:val="24"/>
          <w:szCs w:val="24"/>
          <w:lang w:eastAsia="hi-IN" w:bidi="hi-IN"/>
        </w:rPr>
        <w:lastRenderedPageBreak/>
        <w:t>the serious criticisms of conditions in St Patrick’s Institution, an alternative solution needs to be put in place until the new facility is operational.</w:t>
      </w:r>
      <w:r w:rsidRPr="00E00316">
        <w:rPr>
          <w:rFonts w:eastAsia="SimSun" w:cs="Mangal"/>
          <w:kern w:val="1"/>
          <w:sz w:val="24"/>
          <w:szCs w:val="24"/>
          <w:lang w:eastAsia="hi-IN" w:bidi="hi-IN"/>
        </w:rPr>
        <w:t xml:space="preserve"> There have also been worrying </w:t>
      </w:r>
      <w:r w:rsidRPr="001A4D79">
        <w:rPr>
          <w:rFonts w:eastAsia="SimSun" w:cs="Mangal"/>
          <w:kern w:val="1"/>
          <w:sz w:val="24"/>
          <w:szCs w:val="24"/>
          <w:lang w:eastAsia="hi-IN" w:bidi="hi-IN"/>
        </w:rPr>
        <w:t>indications that there have been remands to custody of children on welfare and not justice grounds</w:t>
      </w:r>
      <w:r w:rsidRPr="00E00316">
        <w:rPr>
          <w:rFonts w:eastAsia="SimSun" w:cs="Mangal"/>
          <w:kern w:val="1"/>
          <w:sz w:val="24"/>
          <w:szCs w:val="24"/>
          <w:vertAlign w:val="superscript"/>
          <w:lang w:eastAsia="hi-IN" w:bidi="hi-IN"/>
        </w:rPr>
        <w:footnoteReference w:id="12"/>
      </w:r>
      <w:r w:rsidRPr="001A4D79">
        <w:rPr>
          <w:rFonts w:eastAsia="SimSun" w:cs="Mangal"/>
          <w:kern w:val="1"/>
          <w:sz w:val="24"/>
          <w:szCs w:val="24"/>
          <w:lang w:eastAsia="hi-IN" w:bidi="hi-IN"/>
        </w:rPr>
        <w:t>.</w:t>
      </w:r>
      <w:r w:rsidRPr="00E00316">
        <w:rPr>
          <w:rFonts w:eastAsia="SimSun" w:cs="Mangal"/>
          <w:kern w:val="1"/>
          <w:sz w:val="24"/>
          <w:szCs w:val="24"/>
          <w:lang w:eastAsia="hi-IN" w:bidi="hi-IN"/>
        </w:rPr>
        <w:t xml:space="preserve"> </w:t>
      </w:r>
    </w:p>
    <w:p w:rsidR="003164AA" w:rsidRPr="00E00316" w:rsidRDefault="003164AA" w:rsidP="00E00316">
      <w:pPr>
        <w:widowControl w:val="0"/>
        <w:suppressAutoHyphens/>
        <w:spacing w:after="0" w:line="240" w:lineRule="auto"/>
        <w:jc w:val="both"/>
        <w:rPr>
          <w:rFonts w:eastAsia="SimSun" w:cs="Mangal"/>
          <w:kern w:val="1"/>
          <w:sz w:val="24"/>
          <w:szCs w:val="24"/>
          <w:lang w:eastAsia="hi-IN" w:bidi="hi-IN"/>
        </w:rPr>
      </w:pPr>
    </w:p>
    <w:p w:rsidR="00F01087" w:rsidRPr="001A4D79" w:rsidRDefault="003164AA" w:rsidP="00E00316">
      <w:pPr>
        <w:widowControl w:val="0"/>
        <w:suppressAutoHyphens/>
        <w:spacing w:after="0" w:line="240" w:lineRule="auto"/>
        <w:jc w:val="both"/>
        <w:rPr>
          <w:rFonts w:eastAsia="SimSun" w:cs="Mangal"/>
          <w:kern w:val="1"/>
          <w:sz w:val="24"/>
          <w:szCs w:val="24"/>
          <w:lang w:eastAsia="hi-IN" w:bidi="hi-IN"/>
        </w:rPr>
      </w:pPr>
      <w:r w:rsidRPr="00E00316">
        <w:rPr>
          <w:rFonts w:eastAsia="SimSun" w:cs="Mangal"/>
          <w:kern w:val="1"/>
          <w:sz w:val="24"/>
          <w:szCs w:val="24"/>
          <w:lang w:eastAsia="hi-IN" w:bidi="hi-IN"/>
        </w:rPr>
        <w:t>IPRT recommends that given the positive measures taken in relation to St. Patrick’s Institution and towards the building of a dedicated National Children Detention Facility, the Government must withdraw its reservation to Article 10 (2b) of the International Covenant on Civil and Political Rights without delay.</w:t>
      </w:r>
      <w:r w:rsidR="00420504">
        <w:rPr>
          <w:rFonts w:eastAsia="SimSun" w:cs="Mangal"/>
          <w:kern w:val="1"/>
          <w:sz w:val="24"/>
          <w:szCs w:val="24"/>
          <w:lang w:eastAsia="hi-IN" w:bidi="hi-IN"/>
        </w:rPr>
        <w:t xml:space="preserve"> </w:t>
      </w:r>
      <w:r w:rsidRPr="00E00316">
        <w:rPr>
          <w:rFonts w:eastAsia="SimSun" w:cs="Mangal"/>
          <w:kern w:val="1"/>
          <w:sz w:val="24"/>
          <w:szCs w:val="24"/>
          <w:lang w:eastAsia="hi-IN" w:bidi="hi-IN"/>
        </w:rPr>
        <w:t>Further, as recommended by</w:t>
      </w:r>
      <w:r w:rsidR="00420504">
        <w:rPr>
          <w:rFonts w:eastAsia="SimSun" w:cs="Mangal"/>
          <w:kern w:val="1"/>
          <w:sz w:val="24"/>
          <w:szCs w:val="24"/>
          <w:lang w:eastAsia="hi-IN" w:bidi="hi-IN"/>
        </w:rPr>
        <w:t xml:space="preserve"> the Children’s Rights Alliance,</w:t>
      </w:r>
      <w:r w:rsidRPr="00E00316">
        <w:rPr>
          <w:rFonts w:eastAsia="SimSun" w:cs="Mangal"/>
          <w:kern w:val="1"/>
          <w:sz w:val="24"/>
          <w:szCs w:val="24"/>
          <w:lang w:eastAsia="hi-IN" w:bidi="hi-IN"/>
        </w:rPr>
        <w:t xml:space="preserve"> a review should be carried out on the use of remand for children and young people to ensure it is used appropriately; children and young people must not be held on remand longer than necessary, and their cases must come before the court wit</w:t>
      </w:r>
      <w:r w:rsidR="00420504">
        <w:rPr>
          <w:rFonts w:eastAsia="SimSun" w:cs="Mangal"/>
          <w:kern w:val="1"/>
          <w:sz w:val="24"/>
          <w:szCs w:val="24"/>
          <w:lang w:eastAsia="hi-IN" w:bidi="hi-IN"/>
        </w:rPr>
        <w:t>hin a reasonable period of time</w:t>
      </w:r>
      <w:r w:rsidRPr="00E00316">
        <w:rPr>
          <w:rFonts w:eastAsia="SimSun" w:cs="Mangal"/>
          <w:kern w:val="1"/>
          <w:sz w:val="24"/>
          <w:szCs w:val="24"/>
          <w:lang w:eastAsia="hi-IN" w:bidi="hi-IN"/>
        </w:rPr>
        <w:t>.</w:t>
      </w:r>
      <w:r w:rsidR="00420504">
        <w:rPr>
          <w:rFonts w:eastAsia="SimSun" w:cs="Mangal"/>
          <w:kern w:val="1"/>
          <w:sz w:val="24"/>
          <w:szCs w:val="24"/>
          <w:lang w:eastAsia="hi-IN" w:bidi="hi-IN"/>
        </w:rPr>
        <w:t xml:space="preserve"> </w:t>
      </w:r>
      <w:r w:rsidR="00F01087" w:rsidRPr="00E00316">
        <w:rPr>
          <w:rFonts w:eastAsia="SimSun" w:cs="Mangal"/>
          <w:kern w:val="1"/>
          <w:sz w:val="24"/>
          <w:szCs w:val="24"/>
          <w:lang w:eastAsia="hi-IN" w:bidi="hi-IN"/>
        </w:rPr>
        <w:t xml:space="preserve">IPRT </w:t>
      </w:r>
      <w:r w:rsidR="0062187C" w:rsidRPr="00E00316">
        <w:rPr>
          <w:rFonts w:eastAsia="SimSun" w:cs="Mangal"/>
          <w:kern w:val="1"/>
          <w:sz w:val="24"/>
          <w:szCs w:val="24"/>
          <w:lang w:eastAsia="hi-IN" w:bidi="hi-IN"/>
        </w:rPr>
        <w:t xml:space="preserve">also </w:t>
      </w:r>
      <w:r w:rsidR="00F01087" w:rsidRPr="00E00316">
        <w:rPr>
          <w:rFonts w:eastAsia="SimSun" w:cs="Mangal"/>
          <w:kern w:val="1"/>
          <w:sz w:val="24"/>
          <w:szCs w:val="24"/>
          <w:lang w:eastAsia="hi-IN" w:bidi="hi-IN"/>
        </w:rPr>
        <w:t xml:space="preserve">urges the Committee to </w:t>
      </w:r>
      <w:r w:rsidR="007D2101" w:rsidRPr="00E00316">
        <w:rPr>
          <w:rFonts w:eastAsia="SimSun" w:cs="Mangal"/>
          <w:kern w:val="1"/>
          <w:sz w:val="24"/>
          <w:szCs w:val="24"/>
          <w:lang w:eastAsia="hi-IN" w:bidi="hi-IN"/>
        </w:rPr>
        <w:t xml:space="preserve">remind the State of its clear international law obligations in this regard and to indicate an acceptable timeline for the completion of the </w:t>
      </w:r>
      <w:proofErr w:type="spellStart"/>
      <w:r w:rsidR="007D2101" w:rsidRPr="00E00316">
        <w:rPr>
          <w:rFonts w:eastAsia="SimSun" w:cs="Mangal"/>
          <w:kern w:val="1"/>
          <w:sz w:val="24"/>
          <w:szCs w:val="24"/>
          <w:lang w:eastAsia="hi-IN" w:bidi="hi-IN"/>
        </w:rPr>
        <w:t>Oberstown</w:t>
      </w:r>
      <w:proofErr w:type="spellEnd"/>
      <w:r w:rsidR="007D2101" w:rsidRPr="00E00316">
        <w:rPr>
          <w:rFonts w:eastAsia="SimSun" w:cs="Mangal"/>
          <w:kern w:val="1"/>
          <w:sz w:val="24"/>
          <w:szCs w:val="24"/>
          <w:lang w:eastAsia="hi-IN" w:bidi="hi-IN"/>
        </w:rPr>
        <w:t xml:space="preserve"> project. </w:t>
      </w:r>
    </w:p>
    <w:p w:rsidR="003A33A7" w:rsidRPr="00E00316" w:rsidRDefault="003A33A7" w:rsidP="00E00316">
      <w:pPr>
        <w:widowControl w:val="0"/>
        <w:suppressAutoHyphens/>
        <w:spacing w:after="0" w:line="240" w:lineRule="auto"/>
        <w:jc w:val="both"/>
        <w:rPr>
          <w:rFonts w:eastAsia="SimSun" w:cs="Mangal"/>
          <w:b/>
          <w:kern w:val="1"/>
          <w:sz w:val="24"/>
          <w:szCs w:val="24"/>
          <w:lang w:eastAsia="hi-IN" w:bidi="hi-IN"/>
        </w:rPr>
      </w:pPr>
    </w:p>
    <w:p w:rsidR="003A33A7" w:rsidRPr="00E00316" w:rsidRDefault="00D16A65" w:rsidP="00E00316">
      <w:pPr>
        <w:widowControl w:val="0"/>
        <w:suppressAutoHyphens/>
        <w:spacing w:after="0" w:line="240" w:lineRule="auto"/>
        <w:jc w:val="both"/>
        <w:rPr>
          <w:rFonts w:eastAsia="SimSun" w:cs="Mangal"/>
          <w:b/>
          <w:kern w:val="1"/>
          <w:sz w:val="24"/>
          <w:szCs w:val="24"/>
          <w:u w:val="single"/>
          <w:lang w:eastAsia="hi-IN" w:bidi="hi-IN"/>
        </w:rPr>
      </w:pPr>
      <w:r w:rsidRPr="00E00316">
        <w:rPr>
          <w:rFonts w:eastAsia="SimSun" w:cs="Mangal"/>
          <w:b/>
          <w:kern w:val="1"/>
          <w:sz w:val="24"/>
          <w:szCs w:val="24"/>
          <w:u w:val="single"/>
          <w:lang w:eastAsia="hi-IN" w:bidi="hi-IN"/>
        </w:rPr>
        <w:t xml:space="preserve">Statistical Data on the Number of Complaints and Ill Treatment filed against prison officers and the Introduction of an effective complaints system [Reply to List of Issues </w:t>
      </w:r>
      <w:r w:rsidR="00A20289" w:rsidRPr="00E00316">
        <w:rPr>
          <w:rFonts w:eastAsia="SimSun" w:cs="Mangal"/>
          <w:b/>
          <w:kern w:val="1"/>
          <w:sz w:val="24"/>
          <w:szCs w:val="24"/>
          <w:u w:val="single"/>
          <w:lang w:eastAsia="hi-IN" w:bidi="hi-IN"/>
        </w:rPr>
        <w:t xml:space="preserve">para 14; Joint </w:t>
      </w:r>
      <w:proofErr w:type="spellStart"/>
      <w:r w:rsidR="00A20289" w:rsidRPr="00E00316">
        <w:rPr>
          <w:rFonts w:eastAsia="SimSun" w:cs="Mangal"/>
          <w:b/>
          <w:kern w:val="1"/>
          <w:sz w:val="24"/>
          <w:szCs w:val="24"/>
          <w:u w:val="single"/>
          <w:lang w:eastAsia="hi-IN" w:bidi="hi-IN"/>
        </w:rPr>
        <w:t>Submisson</w:t>
      </w:r>
      <w:proofErr w:type="spellEnd"/>
      <w:r w:rsidR="00A20289" w:rsidRPr="00E00316">
        <w:rPr>
          <w:rFonts w:eastAsia="SimSun" w:cs="Mangal"/>
          <w:b/>
          <w:kern w:val="1"/>
          <w:sz w:val="24"/>
          <w:szCs w:val="24"/>
          <w:u w:val="single"/>
          <w:lang w:eastAsia="hi-IN" w:bidi="hi-IN"/>
        </w:rPr>
        <w:t xml:space="preserve"> at </w:t>
      </w:r>
      <w:proofErr w:type="spellStart"/>
      <w:r w:rsidR="00A20289" w:rsidRPr="00E00316">
        <w:rPr>
          <w:rFonts w:eastAsia="SimSun" w:cs="Mangal"/>
          <w:b/>
          <w:kern w:val="1"/>
          <w:sz w:val="24"/>
          <w:szCs w:val="24"/>
          <w:u w:val="single"/>
          <w:lang w:eastAsia="hi-IN" w:bidi="hi-IN"/>
        </w:rPr>
        <w:t>pg</w:t>
      </w:r>
      <w:proofErr w:type="spellEnd"/>
      <w:r w:rsidR="00A20289" w:rsidRPr="00E00316">
        <w:rPr>
          <w:rFonts w:eastAsia="SimSun" w:cs="Mangal"/>
          <w:b/>
          <w:kern w:val="1"/>
          <w:sz w:val="24"/>
          <w:szCs w:val="24"/>
          <w:u w:val="single"/>
          <w:lang w:eastAsia="hi-IN" w:bidi="hi-IN"/>
        </w:rPr>
        <w:t xml:space="preserve"> 30</w:t>
      </w:r>
      <w:r w:rsidRPr="00E00316">
        <w:rPr>
          <w:rFonts w:eastAsia="SimSun" w:cs="Mangal"/>
          <w:b/>
          <w:kern w:val="1"/>
          <w:sz w:val="24"/>
          <w:szCs w:val="24"/>
          <w:u w:val="single"/>
          <w:lang w:eastAsia="hi-IN" w:bidi="hi-IN"/>
        </w:rPr>
        <w:t>]</w:t>
      </w:r>
    </w:p>
    <w:p w:rsidR="003A33A7" w:rsidRPr="00E00316" w:rsidRDefault="003A33A7" w:rsidP="00E00316">
      <w:pPr>
        <w:widowControl w:val="0"/>
        <w:suppressAutoHyphens/>
        <w:spacing w:after="0" w:line="240" w:lineRule="auto"/>
        <w:jc w:val="both"/>
        <w:rPr>
          <w:rFonts w:eastAsia="SimSun" w:cs="Mangal"/>
          <w:kern w:val="1"/>
          <w:sz w:val="24"/>
          <w:szCs w:val="24"/>
          <w:lang w:eastAsia="hi-IN" w:bidi="hi-IN"/>
        </w:rPr>
      </w:pPr>
    </w:p>
    <w:p w:rsidR="00A13A2C" w:rsidRPr="00E00316" w:rsidRDefault="00923D26" w:rsidP="00E00316">
      <w:pPr>
        <w:widowControl w:val="0"/>
        <w:suppressAutoHyphens/>
        <w:spacing w:after="0" w:line="240" w:lineRule="auto"/>
        <w:jc w:val="both"/>
        <w:rPr>
          <w:rFonts w:eastAsia="SimSun" w:cs="Mangal"/>
          <w:kern w:val="1"/>
          <w:sz w:val="24"/>
          <w:szCs w:val="24"/>
          <w:lang w:eastAsia="hi-IN" w:bidi="hi-IN"/>
        </w:rPr>
      </w:pPr>
      <w:r>
        <w:rPr>
          <w:rFonts w:eastAsia="SimSun" w:cs="Mangal"/>
          <w:kern w:val="1"/>
          <w:sz w:val="24"/>
          <w:szCs w:val="24"/>
          <w:lang w:eastAsia="hi-IN" w:bidi="hi-IN"/>
        </w:rPr>
        <w:t>In its Reply to the List of Issues, t</w:t>
      </w:r>
      <w:r w:rsidR="001B1EA3" w:rsidRPr="00E00316">
        <w:rPr>
          <w:rFonts w:eastAsia="SimSun" w:cs="Mangal"/>
          <w:kern w:val="1"/>
          <w:sz w:val="24"/>
          <w:szCs w:val="24"/>
          <w:lang w:eastAsia="hi-IN" w:bidi="hi-IN"/>
        </w:rPr>
        <w:t xml:space="preserve">he State </w:t>
      </w:r>
      <w:r w:rsidR="00A13A2C" w:rsidRPr="00E00316">
        <w:rPr>
          <w:rFonts w:eastAsia="SimSun" w:cs="Mangal"/>
          <w:kern w:val="1"/>
          <w:sz w:val="24"/>
          <w:szCs w:val="24"/>
          <w:lang w:eastAsia="hi-IN" w:bidi="hi-IN"/>
        </w:rPr>
        <w:t>has singularly failed to provide the statistical data on the specific issues identified by the Committee</w:t>
      </w:r>
      <w:r w:rsidR="0035506A" w:rsidRPr="00E00316">
        <w:rPr>
          <w:rFonts w:eastAsia="SimSun" w:cs="Mangal"/>
          <w:kern w:val="1"/>
          <w:sz w:val="24"/>
          <w:szCs w:val="24"/>
          <w:lang w:eastAsia="hi-IN" w:bidi="hi-IN"/>
        </w:rPr>
        <w:t>, namely (1) number of complaints of torture and ill-treatment (2) the number of investigations instituted (3) the number of prosecutions commenced and (4) the number of convictions imposed.</w:t>
      </w:r>
      <w:r w:rsidR="00A13A2C" w:rsidRPr="00E00316">
        <w:rPr>
          <w:rFonts w:eastAsia="SimSun" w:cs="Mangal"/>
          <w:kern w:val="1"/>
          <w:sz w:val="24"/>
          <w:szCs w:val="24"/>
          <w:lang w:eastAsia="hi-IN" w:bidi="hi-IN"/>
        </w:rPr>
        <w:t xml:space="preserve"> </w:t>
      </w:r>
      <w:r w:rsidR="0035506A" w:rsidRPr="00E00316">
        <w:rPr>
          <w:rFonts w:eastAsia="SimSun" w:cs="Mangal"/>
          <w:kern w:val="1"/>
          <w:sz w:val="24"/>
          <w:szCs w:val="24"/>
          <w:lang w:eastAsia="hi-IN" w:bidi="hi-IN"/>
        </w:rPr>
        <w:t xml:space="preserve">IPRT would reiterate the call on the State to ratify the Optional Protocol to the Convention </w:t>
      </w:r>
      <w:proofErr w:type="gramStart"/>
      <w:r w:rsidR="0035506A" w:rsidRPr="00E00316">
        <w:rPr>
          <w:rFonts w:eastAsia="SimSun" w:cs="Mangal"/>
          <w:kern w:val="1"/>
          <w:sz w:val="24"/>
          <w:szCs w:val="24"/>
          <w:lang w:eastAsia="hi-IN" w:bidi="hi-IN"/>
        </w:rPr>
        <w:t>Against</w:t>
      </w:r>
      <w:proofErr w:type="gramEnd"/>
      <w:r w:rsidR="0035506A" w:rsidRPr="00E00316">
        <w:rPr>
          <w:rFonts w:eastAsia="SimSun" w:cs="Mangal"/>
          <w:kern w:val="1"/>
          <w:sz w:val="24"/>
          <w:szCs w:val="24"/>
          <w:lang w:eastAsia="hi-IN" w:bidi="hi-IN"/>
        </w:rPr>
        <w:t xml:space="preserve"> Torture and establish a N</w:t>
      </w:r>
      <w:r w:rsidR="00715595" w:rsidRPr="00E00316">
        <w:rPr>
          <w:rFonts w:eastAsia="SimSun" w:cs="Mangal"/>
          <w:kern w:val="1"/>
          <w:sz w:val="24"/>
          <w:szCs w:val="24"/>
          <w:lang w:eastAsia="hi-IN" w:bidi="hi-IN"/>
        </w:rPr>
        <w:t>ational Preventative Mechanism and further urges the Committee to repeat its request to the State for this important data.</w:t>
      </w:r>
    </w:p>
    <w:p w:rsidR="001B1EA3" w:rsidRPr="00E00316" w:rsidRDefault="001B1EA3" w:rsidP="00E00316">
      <w:pPr>
        <w:widowControl w:val="0"/>
        <w:suppressAutoHyphens/>
        <w:spacing w:after="0" w:line="240" w:lineRule="auto"/>
        <w:jc w:val="both"/>
        <w:rPr>
          <w:rFonts w:eastAsia="SimSun" w:cs="Mangal"/>
          <w:kern w:val="1"/>
          <w:sz w:val="24"/>
          <w:szCs w:val="24"/>
          <w:lang w:eastAsia="hi-IN" w:bidi="hi-IN"/>
        </w:rPr>
      </w:pPr>
    </w:p>
    <w:p w:rsidR="003164AA" w:rsidRPr="00E00316" w:rsidRDefault="001B1EA3" w:rsidP="00E00316">
      <w:pPr>
        <w:widowControl w:val="0"/>
        <w:suppressAutoHyphens/>
        <w:spacing w:after="0" w:line="240" w:lineRule="auto"/>
        <w:jc w:val="both"/>
        <w:rPr>
          <w:rFonts w:eastAsia="SimSun" w:cs="Mangal"/>
          <w:kern w:val="1"/>
          <w:sz w:val="24"/>
          <w:szCs w:val="24"/>
          <w:lang w:eastAsia="hi-IN" w:bidi="hi-IN"/>
        </w:rPr>
      </w:pPr>
      <w:r w:rsidRPr="00E00316">
        <w:rPr>
          <w:rFonts w:eastAsia="SimSun" w:cs="Mangal"/>
          <w:kern w:val="1"/>
          <w:sz w:val="24"/>
          <w:szCs w:val="24"/>
          <w:lang w:eastAsia="hi-IN" w:bidi="hi-IN"/>
        </w:rPr>
        <w:t xml:space="preserve">While Ireland has provided information in the Reply to the List of Issues on the introduction of a new complaints model, IPRT remains of the view that the establishment of an independent external mechanism for the review of prisoner’s complaints is central to the protection of the human rights of prisoners and forms part of Ireland’s obligations under international law. </w:t>
      </w:r>
      <w:r w:rsidRPr="00E00316">
        <w:rPr>
          <w:sz w:val="24"/>
          <w:szCs w:val="24"/>
        </w:rPr>
        <w:t xml:space="preserve">The Inspector of Prisons Judge Michael Reilly has also asserted that the absence of an Office of Prisoner Ombudsman with a remit to review such complaints is a significant gap in the accountability system in Ireland. </w:t>
      </w:r>
      <w:r w:rsidR="0059753E" w:rsidRPr="00E00316">
        <w:rPr>
          <w:sz w:val="24"/>
          <w:szCs w:val="24"/>
        </w:rPr>
        <w:t xml:space="preserve">IPRT believe that there remains an </w:t>
      </w:r>
      <w:r w:rsidRPr="00E00316">
        <w:rPr>
          <w:sz w:val="24"/>
          <w:szCs w:val="24"/>
        </w:rPr>
        <w:t xml:space="preserve">urgent need for reform of existing monitoring structures and the establishment of an oversight mechanism fully independent of both the Irish Prison Service and the Minister for Justice. Behind bars and hidden out of sight, enormous power differentials exist. The exceptional nature of the powers of the State over individuals in detention makes effective external scrutiny of their use a matter of particular import. The introduction of an Ombudsman would prevent violations, protect both prisoners and staff, spur further improvement in standards and constitute a major step towards accountability and transparency in the prison system. </w:t>
      </w:r>
    </w:p>
    <w:p w:rsidR="003164AA" w:rsidRPr="00E00316" w:rsidRDefault="003164AA" w:rsidP="00E00316">
      <w:pPr>
        <w:widowControl w:val="0"/>
        <w:suppressAutoHyphens/>
        <w:spacing w:after="0" w:line="240" w:lineRule="auto"/>
        <w:jc w:val="both"/>
        <w:rPr>
          <w:rFonts w:eastAsia="SimSun" w:cs="Mangal"/>
          <w:b/>
          <w:kern w:val="1"/>
          <w:sz w:val="24"/>
          <w:szCs w:val="24"/>
          <w:lang w:eastAsia="hi-IN" w:bidi="hi-IN"/>
        </w:rPr>
      </w:pPr>
    </w:p>
    <w:p w:rsidR="00715595" w:rsidRPr="00E00316" w:rsidRDefault="00715595" w:rsidP="00E00316">
      <w:pPr>
        <w:widowControl w:val="0"/>
        <w:suppressAutoHyphens/>
        <w:spacing w:after="0" w:line="240" w:lineRule="auto"/>
        <w:jc w:val="both"/>
        <w:rPr>
          <w:rFonts w:eastAsia="SimSun" w:cs="Mangal"/>
          <w:b/>
          <w:kern w:val="1"/>
          <w:sz w:val="24"/>
          <w:szCs w:val="24"/>
          <w:u w:val="single"/>
          <w:lang w:eastAsia="hi-IN" w:bidi="hi-IN"/>
        </w:rPr>
      </w:pPr>
      <w:r w:rsidRPr="00E00316">
        <w:rPr>
          <w:rFonts w:eastAsia="SimSun" w:cs="Mangal"/>
          <w:b/>
          <w:kern w:val="1"/>
          <w:sz w:val="24"/>
          <w:szCs w:val="24"/>
          <w:u w:val="single"/>
          <w:lang w:eastAsia="hi-IN" w:bidi="hi-IN"/>
        </w:rPr>
        <w:t>Imprisonment for Failure to fulfil a contractual obligation (Reply to List of Issues, para 21; Joint Submission at page 34)</w:t>
      </w:r>
    </w:p>
    <w:p w:rsidR="0059753E" w:rsidRPr="00E00316" w:rsidRDefault="0059753E" w:rsidP="00E00316">
      <w:pPr>
        <w:widowControl w:val="0"/>
        <w:suppressAutoHyphens/>
        <w:spacing w:after="0" w:line="240" w:lineRule="auto"/>
        <w:jc w:val="both"/>
        <w:rPr>
          <w:rFonts w:eastAsia="SimSun" w:cs="Mangal"/>
          <w:b/>
          <w:kern w:val="1"/>
          <w:sz w:val="24"/>
          <w:szCs w:val="24"/>
          <w:lang w:eastAsia="hi-IN" w:bidi="hi-IN"/>
        </w:rPr>
      </w:pPr>
    </w:p>
    <w:p w:rsidR="00E00316" w:rsidRDefault="00E00316" w:rsidP="00C07D2D">
      <w:pPr>
        <w:widowControl w:val="0"/>
        <w:suppressAutoHyphens/>
        <w:spacing w:after="0" w:line="240" w:lineRule="auto"/>
        <w:jc w:val="both"/>
        <w:rPr>
          <w:rFonts w:eastAsia="SimSun" w:cs="Mangal"/>
          <w:kern w:val="1"/>
          <w:sz w:val="24"/>
          <w:szCs w:val="24"/>
          <w:lang w:eastAsia="hi-IN" w:bidi="hi-IN"/>
        </w:rPr>
      </w:pPr>
      <w:r w:rsidRPr="00E00316">
        <w:rPr>
          <w:rFonts w:eastAsia="SimSun" w:cs="Mangal"/>
          <w:kern w:val="1"/>
          <w:sz w:val="24"/>
          <w:szCs w:val="24"/>
          <w:lang w:eastAsia="hi-IN" w:bidi="hi-IN"/>
        </w:rPr>
        <w:t>While IPRT welcomes</w:t>
      </w:r>
      <w:r w:rsidR="00715595" w:rsidRPr="00E00316">
        <w:rPr>
          <w:rFonts w:eastAsia="SimSun" w:cs="Mangal"/>
          <w:kern w:val="1"/>
          <w:sz w:val="24"/>
          <w:szCs w:val="24"/>
          <w:lang w:eastAsia="hi-IN" w:bidi="hi-IN"/>
        </w:rPr>
        <w:t xml:space="preserve"> the passage of the Fines (Payment and Recovery Bill) 2013</w:t>
      </w:r>
      <w:r w:rsidRPr="00E00316">
        <w:rPr>
          <w:rFonts w:eastAsia="SimSun" w:cs="Mangal"/>
          <w:kern w:val="1"/>
          <w:sz w:val="24"/>
          <w:szCs w:val="24"/>
          <w:lang w:eastAsia="hi-IN" w:bidi="hi-IN"/>
        </w:rPr>
        <w:t xml:space="preserve"> we would sound a note of caution. The previous legislation, the </w:t>
      </w:r>
      <w:r w:rsidRPr="00E00316">
        <w:rPr>
          <w:rFonts w:eastAsia="SimSun" w:cs="Mangal"/>
          <w:i/>
          <w:iCs/>
          <w:kern w:val="1"/>
          <w:sz w:val="24"/>
          <w:szCs w:val="24"/>
          <w:lang w:eastAsia="hi-IN" w:bidi="hi-IN"/>
        </w:rPr>
        <w:t>Fines Act 2010</w:t>
      </w:r>
      <w:r w:rsidRPr="00E00316">
        <w:rPr>
          <w:rFonts w:eastAsia="SimSun" w:cs="Mangal"/>
          <w:kern w:val="1"/>
          <w:sz w:val="24"/>
          <w:szCs w:val="24"/>
          <w:lang w:eastAsia="hi-IN" w:bidi="hi-IN"/>
        </w:rPr>
        <w:t xml:space="preserve">, had no impact on committals for fines </w:t>
      </w:r>
      <w:r w:rsidRPr="00E00316">
        <w:rPr>
          <w:rFonts w:eastAsia="SimSun" w:cs="Mangal"/>
          <w:kern w:val="1"/>
          <w:sz w:val="24"/>
          <w:szCs w:val="24"/>
          <w:lang w:eastAsia="hi-IN" w:bidi="hi-IN"/>
        </w:rPr>
        <w:lastRenderedPageBreak/>
        <w:t>default as it was never fully commenced.  Likewise unless the legislation is fully commenced it will fail to fulfil its intended purpose of ending Ireland’s wasteful and damaging practice of imprisoning thousands of people every year for failing to pay court-ordered fines.</w:t>
      </w:r>
    </w:p>
    <w:p w:rsidR="00C07D2D" w:rsidRDefault="00C07D2D" w:rsidP="00C07D2D">
      <w:pPr>
        <w:widowControl w:val="0"/>
        <w:suppressAutoHyphens/>
        <w:spacing w:after="0" w:line="240" w:lineRule="auto"/>
        <w:jc w:val="both"/>
        <w:rPr>
          <w:rFonts w:eastAsia="SimSun" w:cs="Mangal"/>
          <w:kern w:val="1"/>
          <w:sz w:val="24"/>
          <w:szCs w:val="24"/>
          <w:lang w:eastAsia="hi-IN" w:bidi="hi-IN"/>
        </w:rPr>
      </w:pPr>
    </w:p>
    <w:p w:rsidR="00C07D2D" w:rsidRPr="00C07D2D" w:rsidRDefault="00C07D2D" w:rsidP="00C07D2D">
      <w:pPr>
        <w:widowControl w:val="0"/>
        <w:suppressAutoHyphens/>
        <w:spacing w:after="0" w:line="240" w:lineRule="auto"/>
        <w:jc w:val="both"/>
        <w:rPr>
          <w:rFonts w:eastAsia="SimSun" w:cs="Times New Roman"/>
          <w:kern w:val="1"/>
          <w:sz w:val="24"/>
          <w:szCs w:val="24"/>
          <w:lang w:eastAsia="hi-IN" w:bidi="hi-IN"/>
        </w:rPr>
      </w:pPr>
      <w:r w:rsidRPr="001A4D79">
        <w:rPr>
          <w:rFonts w:eastAsia="SimSun" w:cs="Times New Roman"/>
          <w:kern w:val="1"/>
          <w:sz w:val="24"/>
          <w:szCs w:val="24"/>
          <w:lang w:eastAsia="hi-IN" w:bidi="hi-IN"/>
        </w:rPr>
        <w:t>There were 8,121 committals (1,894 female and 6,227 male) to prison for the non-payment of a court ordered fine in 2013</w:t>
      </w:r>
      <w:r w:rsidRPr="00E00316">
        <w:rPr>
          <w:rFonts w:eastAsia="SimSun" w:cs="Times New Roman"/>
          <w:kern w:val="1"/>
          <w:sz w:val="24"/>
          <w:szCs w:val="24"/>
          <w:vertAlign w:val="superscript"/>
          <w:lang w:eastAsia="hi-IN" w:bidi="hi-IN"/>
        </w:rPr>
        <w:footnoteReference w:id="13"/>
      </w:r>
      <w:r w:rsidRPr="001A4D79">
        <w:rPr>
          <w:rFonts w:eastAsia="SimSun" w:cs="Times New Roman"/>
          <w:kern w:val="1"/>
          <w:sz w:val="24"/>
          <w:szCs w:val="24"/>
          <w:lang w:eastAsia="hi-IN" w:bidi="hi-IN"/>
        </w:rPr>
        <w:t xml:space="preserve">. There was a </w:t>
      </w:r>
      <w:r w:rsidRPr="001A4D79">
        <w:rPr>
          <w:rFonts w:eastAsia="SimSun" w:cs="Times New Roman"/>
          <w:color w:val="222222"/>
          <w:kern w:val="1"/>
          <w:sz w:val="24"/>
          <w:szCs w:val="24"/>
          <w:lang w:eastAsia="hi-IN" w:bidi="hi-IN"/>
        </w:rPr>
        <w:t>12.3% increase in female committals for fines and debt default in 2013</w:t>
      </w:r>
      <w:r w:rsidRPr="00E00316">
        <w:rPr>
          <w:rFonts w:eastAsia="SimSun" w:cs="Times New Roman"/>
          <w:color w:val="222222"/>
          <w:kern w:val="1"/>
          <w:sz w:val="24"/>
          <w:szCs w:val="24"/>
          <w:vertAlign w:val="superscript"/>
          <w:lang w:eastAsia="hi-IN" w:bidi="hi-IN"/>
        </w:rPr>
        <w:footnoteReference w:id="14"/>
      </w:r>
      <w:r w:rsidRPr="001A4D79">
        <w:rPr>
          <w:rFonts w:eastAsia="SimSun" w:cs="Times New Roman"/>
          <w:color w:val="222222"/>
          <w:kern w:val="1"/>
          <w:sz w:val="24"/>
          <w:szCs w:val="24"/>
          <w:lang w:eastAsia="hi-IN" w:bidi="hi-IN"/>
        </w:rPr>
        <w:t xml:space="preserve"> (1,894 in 2013 up from 1,687 in 2012).</w:t>
      </w:r>
      <w:r w:rsidRPr="001A4D79">
        <w:rPr>
          <w:rFonts w:eastAsia="SimSun" w:cs="Times New Roman"/>
          <w:kern w:val="1"/>
          <w:sz w:val="24"/>
          <w:szCs w:val="24"/>
          <w:lang w:eastAsia="hi-IN" w:bidi="hi-IN"/>
        </w:rPr>
        <w:t xml:space="preserve"> In 2013, 22 debtors (21 male, 1 female) were committed to prison</w:t>
      </w:r>
      <w:r w:rsidRPr="00E00316">
        <w:rPr>
          <w:rFonts w:eastAsia="SimSun" w:cs="Times New Roman"/>
          <w:kern w:val="1"/>
          <w:sz w:val="24"/>
          <w:szCs w:val="24"/>
          <w:vertAlign w:val="superscript"/>
          <w:lang w:eastAsia="hi-IN" w:bidi="hi-IN"/>
        </w:rPr>
        <w:footnoteReference w:id="15"/>
      </w:r>
      <w:r w:rsidRPr="001A4D79">
        <w:rPr>
          <w:rFonts w:eastAsia="SimSun" w:cs="Times New Roman"/>
          <w:kern w:val="1"/>
          <w:sz w:val="24"/>
          <w:szCs w:val="24"/>
          <w:lang w:eastAsia="hi-IN" w:bidi="hi-IN"/>
        </w:rPr>
        <w:t>.</w:t>
      </w:r>
    </w:p>
    <w:p w:rsidR="00E00316" w:rsidRPr="00E00316" w:rsidRDefault="00E00316" w:rsidP="00C07D2D">
      <w:pPr>
        <w:widowControl w:val="0"/>
        <w:suppressAutoHyphens/>
        <w:spacing w:after="0" w:line="240" w:lineRule="auto"/>
        <w:jc w:val="both"/>
        <w:rPr>
          <w:rFonts w:eastAsia="SimSun" w:cs="Mangal"/>
          <w:kern w:val="1"/>
          <w:sz w:val="24"/>
          <w:szCs w:val="24"/>
          <w:lang w:eastAsia="hi-IN" w:bidi="hi-IN"/>
        </w:rPr>
      </w:pPr>
    </w:p>
    <w:p w:rsidR="00E00316" w:rsidRDefault="00E00316" w:rsidP="00C07D2D">
      <w:pPr>
        <w:widowControl w:val="0"/>
        <w:suppressAutoHyphens/>
        <w:spacing w:after="0" w:line="240" w:lineRule="auto"/>
        <w:jc w:val="both"/>
        <w:rPr>
          <w:rFonts w:eastAsia="SimSun" w:cs="Mangal"/>
          <w:kern w:val="1"/>
          <w:sz w:val="24"/>
          <w:szCs w:val="24"/>
          <w:lang w:eastAsia="hi-IN" w:bidi="hi-IN"/>
        </w:rPr>
      </w:pPr>
      <w:r w:rsidRPr="00E00316">
        <w:rPr>
          <w:rFonts w:eastAsia="SimSun" w:cs="Mangal"/>
          <w:kern w:val="1"/>
          <w:sz w:val="24"/>
          <w:szCs w:val="24"/>
          <w:lang w:eastAsia="hi-IN" w:bidi="hi-IN"/>
        </w:rPr>
        <w:t>There have been more than 30,000 committals to prison for fines default since the </w:t>
      </w:r>
      <w:r w:rsidRPr="00E00316">
        <w:rPr>
          <w:rFonts w:eastAsia="SimSun" w:cs="Mangal"/>
          <w:i/>
          <w:iCs/>
          <w:kern w:val="1"/>
          <w:sz w:val="24"/>
          <w:szCs w:val="24"/>
          <w:lang w:eastAsia="hi-IN" w:bidi="hi-IN"/>
        </w:rPr>
        <w:t xml:space="preserve">Fines Act 2010 </w:t>
      </w:r>
      <w:r w:rsidRPr="00E00316">
        <w:rPr>
          <w:rFonts w:eastAsia="SimSun" w:cs="Mangal"/>
          <w:kern w:val="1"/>
          <w:sz w:val="24"/>
          <w:szCs w:val="24"/>
          <w:lang w:eastAsia="hi-IN" w:bidi="hi-IN"/>
        </w:rPr>
        <w:t>was signed into law, almost four years ago. Although parts of the </w:t>
      </w:r>
      <w:r w:rsidRPr="00E00316">
        <w:rPr>
          <w:rFonts w:eastAsia="SimSun" w:cs="Mangal"/>
          <w:i/>
          <w:iCs/>
          <w:kern w:val="1"/>
          <w:sz w:val="24"/>
          <w:szCs w:val="24"/>
          <w:lang w:eastAsia="hi-IN" w:bidi="hi-IN"/>
        </w:rPr>
        <w:t>Fines Act 2010</w:t>
      </w:r>
      <w:r w:rsidRPr="00E00316">
        <w:rPr>
          <w:rFonts w:eastAsia="SimSun" w:cs="Mangal"/>
          <w:kern w:val="1"/>
          <w:sz w:val="24"/>
          <w:szCs w:val="24"/>
          <w:lang w:eastAsia="hi-IN" w:bidi="hi-IN"/>
        </w:rPr>
        <w:t> were commenced, it is still not possible to pay fines by instalment, as provided for in that legislation.</w:t>
      </w:r>
      <w:r w:rsidR="00C07D2D">
        <w:rPr>
          <w:rFonts w:eastAsia="SimSun" w:cs="Mangal"/>
          <w:kern w:val="1"/>
          <w:sz w:val="24"/>
          <w:szCs w:val="24"/>
          <w:lang w:eastAsia="hi-IN" w:bidi="hi-IN"/>
        </w:rPr>
        <w:t xml:space="preserve"> </w:t>
      </w:r>
      <w:r w:rsidRPr="00E00316">
        <w:rPr>
          <w:rFonts w:eastAsia="SimSun" w:cs="Mangal"/>
          <w:kern w:val="1"/>
          <w:sz w:val="24"/>
          <w:szCs w:val="24"/>
          <w:lang w:eastAsia="hi-IN" w:bidi="hi-IN"/>
        </w:rPr>
        <w:t xml:space="preserve">IPRT is </w:t>
      </w:r>
      <w:r w:rsidR="00C07D2D">
        <w:rPr>
          <w:rFonts w:eastAsia="SimSun" w:cs="Mangal"/>
          <w:kern w:val="1"/>
          <w:sz w:val="24"/>
          <w:szCs w:val="24"/>
          <w:lang w:eastAsia="hi-IN" w:bidi="hi-IN"/>
        </w:rPr>
        <w:t xml:space="preserve">also </w:t>
      </w:r>
      <w:r w:rsidRPr="00E00316">
        <w:rPr>
          <w:rFonts w:eastAsia="SimSun" w:cs="Mangal"/>
          <w:kern w:val="1"/>
          <w:sz w:val="24"/>
          <w:szCs w:val="24"/>
          <w:lang w:eastAsia="hi-IN" w:bidi="hi-IN"/>
        </w:rPr>
        <w:t>disappointed that a number of proposed amendments to the 2013 Bill, including the recommendation to allow fines of less than €100 to be paid by instalment – in order to ease the burden on families – were not accepted. IPRT strongly believes that even €100 can be a significant amount of money for families in the current economic climate.</w:t>
      </w:r>
    </w:p>
    <w:p w:rsidR="00C07D2D" w:rsidRPr="00E00316" w:rsidRDefault="00C07D2D" w:rsidP="00C07D2D">
      <w:pPr>
        <w:widowControl w:val="0"/>
        <w:suppressAutoHyphens/>
        <w:spacing w:after="0" w:line="240" w:lineRule="auto"/>
        <w:jc w:val="both"/>
        <w:rPr>
          <w:rFonts w:eastAsia="SimSun" w:cs="Mangal"/>
          <w:kern w:val="1"/>
          <w:sz w:val="24"/>
          <w:szCs w:val="24"/>
          <w:lang w:eastAsia="hi-IN" w:bidi="hi-IN"/>
        </w:rPr>
      </w:pPr>
    </w:p>
    <w:p w:rsidR="00E00316" w:rsidRPr="00E00316" w:rsidRDefault="00E00316" w:rsidP="00C07D2D">
      <w:pPr>
        <w:widowControl w:val="0"/>
        <w:suppressAutoHyphens/>
        <w:spacing w:after="0" w:line="240" w:lineRule="auto"/>
        <w:jc w:val="both"/>
        <w:rPr>
          <w:rFonts w:eastAsia="SimSun" w:cs="Mangal"/>
          <w:kern w:val="1"/>
          <w:sz w:val="24"/>
          <w:szCs w:val="24"/>
          <w:lang w:eastAsia="hi-IN" w:bidi="hi-IN"/>
        </w:rPr>
      </w:pPr>
      <w:r w:rsidRPr="00E00316">
        <w:rPr>
          <w:rFonts w:eastAsia="SimSun" w:cs="Mangal"/>
          <w:kern w:val="1"/>
          <w:sz w:val="24"/>
          <w:szCs w:val="24"/>
          <w:lang w:eastAsia="hi-IN" w:bidi="hi-IN"/>
        </w:rPr>
        <w:t>The impact of the recession on the ability to pay fines is evidenced by the figures. Committals to prison for fines default increased sharply from 1,335 in 2007 to 8,121 in 2013. In 2013, there were 411 committals to prison for non-payment of a fine relating to a TV license, up from 75 in 2009.</w:t>
      </w:r>
    </w:p>
    <w:p w:rsidR="00E00316" w:rsidRPr="00E00316" w:rsidRDefault="00E00316" w:rsidP="00C07D2D">
      <w:pPr>
        <w:widowControl w:val="0"/>
        <w:suppressAutoHyphens/>
        <w:spacing w:after="0" w:line="240" w:lineRule="auto"/>
        <w:jc w:val="both"/>
        <w:rPr>
          <w:rFonts w:eastAsia="SimSun" w:cs="Mangal"/>
          <w:kern w:val="1"/>
          <w:sz w:val="24"/>
          <w:szCs w:val="24"/>
          <w:lang w:eastAsia="hi-IN" w:bidi="hi-IN"/>
        </w:rPr>
      </w:pPr>
      <w:r w:rsidRPr="00E00316">
        <w:rPr>
          <w:rFonts w:eastAsia="SimSun" w:cs="Mangal"/>
          <w:kern w:val="1"/>
          <w:sz w:val="24"/>
          <w:szCs w:val="24"/>
          <w:lang w:eastAsia="hi-IN" w:bidi="hi-IN"/>
        </w:rPr>
        <w:t>The soaring numbers of women imprisoned for non-payment of fines is a particular concern, with female committals for fines default rising from 163 in 2007 to 1,894 in 2013. The imprisonment of women for fines default is particularly damaging on communities, as they are more likely to be the primary carers of children and elderly family members.</w:t>
      </w:r>
      <w:r w:rsidR="00C07D2D">
        <w:rPr>
          <w:rFonts w:eastAsia="SimSun" w:cs="Mangal"/>
          <w:kern w:val="1"/>
          <w:sz w:val="24"/>
          <w:szCs w:val="24"/>
          <w:lang w:eastAsia="hi-IN" w:bidi="hi-IN"/>
        </w:rPr>
        <w:t xml:space="preserve"> </w:t>
      </w:r>
    </w:p>
    <w:p w:rsidR="00715595" w:rsidRPr="001A4D79" w:rsidRDefault="00715595" w:rsidP="00E00316">
      <w:pPr>
        <w:widowControl w:val="0"/>
        <w:suppressAutoHyphens/>
        <w:spacing w:after="0" w:line="240" w:lineRule="auto"/>
        <w:jc w:val="both"/>
        <w:rPr>
          <w:rFonts w:eastAsia="SimSun" w:cs="Mangal"/>
          <w:b/>
          <w:kern w:val="1"/>
          <w:sz w:val="24"/>
          <w:szCs w:val="24"/>
          <w:lang w:eastAsia="hi-IN" w:bidi="hi-IN"/>
        </w:rPr>
      </w:pPr>
    </w:p>
    <w:p w:rsidR="00715595" w:rsidRPr="00E00316" w:rsidRDefault="00715595" w:rsidP="00E00316">
      <w:pPr>
        <w:widowControl w:val="0"/>
        <w:suppressAutoHyphens/>
        <w:spacing w:after="0" w:line="240" w:lineRule="auto"/>
        <w:jc w:val="both"/>
        <w:rPr>
          <w:rFonts w:eastAsia="SimSun" w:cs="Mangal"/>
          <w:b/>
          <w:kern w:val="1"/>
          <w:sz w:val="24"/>
          <w:szCs w:val="24"/>
          <w:u w:val="single"/>
          <w:lang w:eastAsia="hi-IN" w:bidi="hi-IN"/>
        </w:rPr>
      </w:pPr>
      <w:r w:rsidRPr="00E00316">
        <w:rPr>
          <w:rFonts w:eastAsia="SimSun" w:cs="Mangal"/>
          <w:b/>
          <w:kern w:val="1"/>
          <w:sz w:val="24"/>
          <w:szCs w:val="24"/>
          <w:u w:val="single"/>
          <w:lang w:eastAsia="hi-IN" w:bidi="hi-IN"/>
        </w:rPr>
        <w:t>Other Issues</w:t>
      </w:r>
    </w:p>
    <w:p w:rsidR="00715595" w:rsidRPr="00E00316" w:rsidRDefault="00715595" w:rsidP="00E00316">
      <w:pPr>
        <w:widowControl w:val="0"/>
        <w:suppressAutoHyphens/>
        <w:spacing w:after="0" w:line="240" w:lineRule="auto"/>
        <w:jc w:val="both"/>
        <w:rPr>
          <w:rFonts w:eastAsia="SimSun" w:cs="Mangal"/>
          <w:b/>
          <w:kern w:val="1"/>
          <w:sz w:val="24"/>
          <w:szCs w:val="24"/>
          <w:u w:val="single"/>
          <w:lang w:eastAsia="hi-IN" w:bidi="hi-IN"/>
        </w:rPr>
      </w:pPr>
    </w:p>
    <w:p w:rsidR="001A4D79" w:rsidRPr="00E00316" w:rsidRDefault="00C07D2D" w:rsidP="00E00316">
      <w:pPr>
        <w:widowControl w:val="0"/>
        <w:suppressAutoHyphens/>
        <w:spacing w:after="0" w:line="240" w:lineRule="auto"/>
        <w:jc w:val="both"/>
        <w:rPr>
          <w:rFonts w:eastAsia="SimSun" w:cs="Mangal"/>
          <w:b/>
          <w:kern w:val="1"/>
          <w:sz w:val="24"/>
          <w:szCs w:val="24"/>
          <w:lang w:eastAsia="hi-IN" w:bidi="hi-IN"/>
        </w:rPr>
      </w:pPr>
      <w:r>
        <w:rPr>
          <w:rFonts w:eastAsia="SimSun" w:cs="Mangal"/>
          <w:b/>
          <w:kern w:val="1"/>
          <w:sz w:val="24"/>
          <w:szCs w:val="24"/>
          <w:lang w:eastAsia="hi-IN" w:bidi="hi-IN"/>
        </w:rPr>
        <w:t xml:space="preserve">Article 7 - </w:t>
      </w:r>
      <w:r w:rsidR="001A4D79" w:rsidRPr="001A4D79">
        <w:rPr>
          <w:rFonts w:eastAsia="SimSun" w:cs="Mangal"/>
          <w:b/>
          <w:kern w:val="1"/>
          <w:sz w:val="24"/>
          <w:szCs w:val="24"/>
          <w:lang w:eastAsia="hi-IN" w:bidi="hi-IN"/>
        </w:rPr>
        <w:t>Overuse of Protection</w:t>
      </w:r>
    </w:p>
    <w:p w:rsidR="001A4D79" w:rsidRPr="001A4D79" w:rsidRDefault="001A4D79" w:rsidP="00C07D2D">
      <w:pPr>
        <w:widowControl w:val="0"/>
        <w:suppressAutoHyphens/>
        <w:spacing w:after="0" w:line="240" w:lineRule="auto"/>
        <w:jc w:val="both"/>
        <w:rPr>
          <w:rFonts w:eastAsia="SimSun" w:cs="Times New Roman"/>
          <w:kern w:val="1"/>
          <w:sz w:val="24"/>
          <w:szCs w:val="24"/>
          <w:lang w:eastAsia="hi-IN" w:bidi="hi-IN"/>
        </w:rPr>
      </w:pPr>
      <w:r w:rsidRPr="001A4D79">
        <w:rPr>
          <w:rFonts w:eastAsia="SimSun" w:cs="Times New Roman"/>
          <w:kern w:val="1"/>
          <w:sz w:val="24"/>
          <w:szCs w:val="24"/>
          <w:lang w:eastAsia="hi-IN" w:bidi="hi-IN"/>
        </w:rPr>
        <w:t>On 14</w:t>
      </w:r>
      <w:r w:rsidRPr="001A4D79">
        <w:rPr>
          <w:rFonts w:eastAsia="SimSun" w:cs="Times New Roman"/>
          <w:kern w:val="1"/>
          <w:sz w:val="24"/>
          <w:szCs w:val="24"/>
          <w:vertAlign w:val="superscript"/>
          <w:lang w:eastAsia="hi-IN" w:bidi="hi-IN"/>
        </w:rPr>
        <w:t>th</w:t>
      </w:r>
      <w:r w:rsidRPr="001A4D79">
        <w:rPr>
          <w:rFonts w:eastAsia="SimSun" w:cs="Times New Roman"/>
          <w:kern w:val="1"/>
          <w:sz w:val="24"/>
          <w:szCs w:val="24"/>
          <w:lang w:eastAsia="hi-IN" w:bidi="hi-IN"/>
        </w:rPr>
        <w:t xml:space="preserve"> January 2014 there were 228 prisoners (</w:t>
      </w:r>
      <w:r w:rsidRPr="001A4D79">
        <w:rPr>
          <w:rFonts w:eastAsia="SimSun" w:cs="Mangal"/>
          <w:kern w:val="1"/>
          <w:sz w:val="24"/>
          <w:szCs w:val="24"/>
          <w:lang w:eastAsia="hi-IN" w:bidi="hi-IN"/>
        </w:rPr>
        <w:t xml:space="preserve">5.7% </w:t>
      </w:r>
      <w:r w:rsidRPr="001A4D79">
        <w:rPr>
          <w:rFonts w:eastAsia="SimSun" w:cs="Times New Roman"/>
          <w:kern w:val="1"/>
          <w:sz w:val="24"/>
          <w:szCs w:val="24"/>
          <w:lang w:eastAsia="hi-IN" w:bidi="hi-IN"/>
        </w:rPr>
        <w:t>of a prison population of 3,973) subject to a restricted regime involving in-cell time of 19 hours or more per day</w:t>
      </w:r>
      <w:r w:rsidRPr="00E00316">
        <w:rPr>
          <w:rFonts w:eastAsia="SimSun" w:cs="Times New Roman"/>
          <w:kern w:val="1"/>
          <w:sz w:val="24"/>
          <w:szCs w:val="24"/>
          <w:vertAlign w:val="superscript"/>
          <w:lang w:eastAsia="hi-IN" w:bidi="hi-IN"/>
        </w:rPr>
        <w:footnoteReference w:id="16"/>
      </w:r>
      <w:r w:rsidRPr="001A4D79">
        <w:rPr>
          <w:rFonts w:eastAsia="SimSun" w:cs="Times New Roman"/>
          <w:kern w:val="1"/>
          <w:sz w:val="24"/>
          <w:szCs w:val="24"/>
          <w:lang w:eastAsia="hi-IN" w:bidi="hi-IN"/>
        </w:rPr>
        <w:t xml:space="preserve">, including </w:t>
      </w:r>
      <w:r w:rsidRPr="001A4D79">
        <w:rPr>
          <w:rFonts w:eastAsia="SimSun" w:cs="Times New Roman"/>
          <w:color w:val="222222"/>
          <w:kern w:val="1"/>
          <w:sz w:val="24"/>
          <w:szCs w:val="24"/>
          <w:lang w:eastAsia="hi-IN" w:bidi="hi-IN"/>
        </w:rPr>
        <w:t>50 prisoners on 22/23-hour lock-up</w:t>
      </w:r>
      <w:r w:rsidRPr="00E00316">
        <w:rPr>
          <w:rFonts w:eastAsia="SimSun" w:cs="Times New Roman"/>
          <w:color w:val="222222"/>
          <w:kern w:val="1"/>
          <w:sz w:val="24"/>
          <w:szCs w:val="24"/>
          <w:vertAlign w:val="superscript"/>
          <w:lang w:eastAsia="hi-IN" w:bidi="hi-IN"/>
        </w:rPr>
        <w:footnoteReference w:id="17"/>
      </w:r>
      <w:r w:rsidRPr="001A4D79">
        <w:rPr>
          <w:rFonts w:eastAsia="SimSun" w:cs="Times New Roman"/>
          <w:color w:val="222222"/>
          <w:kern w:val="1"/>
          <w:sz w:val="24"/>
          <w:szCs w:val="24"/>
          <w:lang w:eastAsia="hi-IN" w:bidi="hi-IN"/>
        </w:rPr>
        <w:t xml:space="preserve">. </w:t>
      </w:r>
      <w:r w:rsidRPr="001A4D79">
        <w:rPr>
          <w:rFonts w:eastAsia="Times New Roman" w:cs="Times New Roman"/>
          <w:sz w:val="24"/>
          <w:szCs w:val="24"/>
          <w:lang w:val="en-GB" w:eastAsia="en-GB"/>
        </w:rPr>
        <w:t>The UN Special Rapporteur on Torture, Juan Méndez, has proposed a worldwide ban on prolonged solitary confinement (of over 15 days), as well as solitary confinement used as a penalty, in pre-trial detention, for persons with mental disabilities, and for juveniles</w:t>
      </w:r>
      <w:r w:rsidRPr="00E00316">
        <w:rPr>
          <w:rFonts w:eastAsia="Times New Roman" w:cs="Times New Roman"/>
          <w:sz w:val="24"/>
          <w:szCs w:val="24"/>
          <w:vertAlign w:val="superscript"/>
          <w:lang w:val="en-GB" w:eastAsia="en-GB"/>
        </w:rPr>
        <w:footnoteReference w:id="18"/>
      </w:r>
      <w:r w:rsidRPr="001A4D79">
        <w:rPr>
          <w:rFonts w:eastAsia="Times New Roman" w:cs="Times New Roman"/>
          <w:sz w:val="24"/>
          <w:szCs w:val="24"/>
          <w:lang w:val="en-GB" w:eastAsia="en-GB"/>
        </w:rPr>
        <w:t>.</w:t>
      </w:r>
      <w:r w:rsidR="00C07D2D">
        <w:rPr>
          <w:rFonts w:eastAsia="SimSun" w:cs="Times New Roman"/>
          <w:kern w:val="1"/>
          <w:sz w:val="24"/>
          <w:szCs w:val="24"/>
          <w:lang w:eastAsia="hi-IN" w:bidi="hi-IN"/>
        </w:rPr>
        <w:t xml:space="preserve"> IPRT would urge an i</w:t>
      </w:r>
      <w:r w:rsidRPr="001A4D79">
        <w:rPr>
          <w:rFonts w:eastAsia="SimSun" w:cs="Times New Roman"/>
          <w:kern w:val="1"/>
          <w:sz w:val="24"/>
          <w:szCs w:val="24"/>
          <w:lang w:eastAsia="hi-IN" w:bidi="hi-IN"/>
        </w:rPr>
        <w:t xml:space="preserve">ncrease out of cell time and access to facilities for all prisoners, including those on protection. </w:t>
      </w:r>
    </w:p>
    <w:p w:rsidR="00923D26" w:rsidRDefault="004C7EF6" w:rsidP="00E00316">
      <w:pPr>
        <w:widowControl w:val="0"/>
        <w:suppressAutoHyphens/>
        <w:spacing w:after="0" w:line="240" w:lineRule="auto"/>
        <w:jc w:val="both"/>
        <w:rPr>
          <w:rFonts w:eastAsia="SimSun" w:cs="Times New Roman"/>
          <w:kern w:val="1"/>
          <w:sz w:val="24"/>
          <w:szCs w:val="24"/>
          <w:lang w:eastAsia="hi-IN" w:bidi="hi-IN"/>
        </w:rPr>
      </w:pPr>
      <w:r>
        <w:rPr>
          <w:rFonts w:eastAsia="SimSun" w:cs="Times New Roman"/>
          <w:kern w:val="1"/>
          <w:sz w:val="24"/>
          <w:szCs w:val="24"/>
          <w:lang w:eastAsia="hi-IN" w:bidi="hi-IN"/>
        </w:rPr>
        <w:t xml:space="preserve"> </w:t>
      </w:r>
    </w:p>
    <w:p w:rsidR="001A4D79" w:rsidRPr="001A4D79" w:rsidRDefault="00C07D2D" w:rsidP="00E00316">
      <w:pPr>
        <w:widowControl w:val="0"/>
        <w:suppressAutoHyphens/>
        <w:spacing w:after="0" w:line="240" w:lineRule="auto"/>
        <w:jc w:val="both"/>
        <w:rPr>
          <w:rFonts w:eastAsia="SimSun" w:cs="Times New Roman"/>
          <w:kern w:val="1"/>
          <w:sz w:val="24"/>
          <w:szCs w:val="24"/>
          <w:lang w:eastAsia="hi-IN" w:bidi="hi-IN"/>
        </w:rPr>
      </w:pPr>
      <w:r w:rsidRPr="00C07D2D">
        <w:rPr>
          <w:rFonts w:eastAsia="SimSun" w:cs="Times New Roman"/>
          <w:b/>
          <w:kern w:val="1"/>
          <w:sz w:val="24"/>
          <w:szCs w:val="24"/>
          <w:lang w:eastAsia="hi-IN" w:bidi="hi-IN"/>
        </w:rPr>
        <w:t xml:space="preserve">Article 10 - </w:t>
      </w:r>
      <w:r w:rsidR="001A4D79" w:rsidRPr="001A4D79">
        <w:rPr>
          <w:rFonts w:eastAsia="SimSun" w:cs="Times New Roman"/>
          <w:b/>
          <w:kern w:val="1"/>
          <w:sz w:val="24"/>
          <w:szCs w:val="24"/>
          <w:lang w:eastAsia="hi-IN" w:bidi="hi-IN"/>
        </w:rPr>
        <w:t xml:space="preserve">Resources for Rehabilitative Programmes </w:t>
      </w:r>
    </w:p>
    <w:p w:rsidR="001A4D79" w:rsidRPr="001A4D79" w:rsidRDefault="00C07D2D" w:rsidP="00E00316">
      <w:pPr>
        <w:widowControl w:val="0"/>
        <w:suppressAutoHyphens/>
        <w:spacing w:after="0" w:line="240" w:lineRule="auto"/>
        <w:jc w:val="both"/>
        <w:rPr>
          <w:rFonts w:eastAsia="SimSun" w:cs="Mangal"/>
          <w:kern w:val="1"/>
          <w:sz w:val="24"/>
          <w:szCs w:val="24"/>
          <w:lang w:eastAsia="hi-IN" w:bidi="hi-IN"/>
        </w:rPr>
      </w:pPr>
      <w:r w:rsidRPr="001A4D79">
        <w:rPr>
          <w:rFonts w:eastAsia="SimSun" w:cs="Mangal"/>
          <w:kern w:val="1"/>
          <w:sz w:val="24"/>
          <w:szCs w:val="24"/>
          <w:lang w:eastAsia="hi-IN" w:bidi="hi-IN"/>
        </w:rPr>
        <w:t xml:space="preserve">Expenditure on work training and educational services within the Irish Prison Service budget has decreased significantly since 2006, from €3.037m in 2006 to €2.077m in 2012. </w:t>
      </w:r>
      <w:r w:rsidR="001A4D79" w:rsidRPr="001A4D79">
        <w:rPr>
          <w:rFonts w:eastAsia="SimSun" w:cs="Mangal"/>
          <w:kern w:val="1"/>
          <w:sz w:val="24"/>
          <w:szCs w:val="24"/>
          <w:lang w:eastAsia="hi-IN" w:bidi="hi-IN"/>
        </w:rPr>
        <w:t xml:space="preserve">Resource implications of provision of relevant structured activities for prisoners cannot be used as an excuse for failing to comply with our obligations under Article 10 of the ICCPR. The Inspector Prisons has stated ‘that workshops must be staffed on a full time basis, must be open and functioning, schools </w:t>
      </w:r>
      <w:r w:rsidR="001A4D79" w:rsidRPr="001A4D79">
        <w:rPr>
          <w:rFonts w:eastAsia="SimSun" w:cs="Mangal"/>
          <w:kern w:val="1"/>
          <w:sz w:val="24"/>
          <w:szCs w:val="24"/>
          <w:lang w:eastAsia="hi-IN" w:bidi="hi-IN"/>
        </w:rPr>
        <w:lastRenderedPageBreak/>
        <w:t>must be operating and that other relevant work must not be curtailed’</w:t>
      </w:r>
      <w:r w:rsidR="001A4D79" w:rsidRPr="00E00316">
        <w:rPr>
          <w:rFonts w:eastAsia="SimSun" w:cs="Mangal"/>
          <w:kern w:val="1"/>
          <w:sz w:val="24"/>
          <w:szCs w:val="24"/>
          <w:vertAlign w:val="superscript"/>
          <w:lang w:eastAsia="hi-IN" w:bidi="hi-IN"/>
        </w:rPr>
        <w:footnoteReference w:id="19"/>
      </w:r>
      <w:r w:rsidR="001A4D79" w:rsidRPr="001A4D79">
        <w:rPr>
          <w:rFonts w:eastAsia="SimSun" w:cs="Mangal"/>
          <w:kern w:val="1"/>
          <w:sz w:val="24"/>
          <w:szCs w:val="24"/>
          <w:lang w:eastAsia="hi-IN" w:bidi="hi-IN"/>
        </w:rPr>
        <w:t xml:space="preserve">. </w:t>
      </w:r>
    </w:p>
    <w:p w:rsidR="001A4D79" w:rsidRPr="001A4D79" w:rsidRDefault="001A4D79" w:rsidP="00E00316">
      <w:pPr>
        <w:widowControl w:val="0"/>
        <w:suppressAutoHyphens/>
        <w:spacing w:after="0" w:line="240" w:lineRule="auto"/>
        <w:jc w:val="both"/>
        <w:rPr>
          <w:rFonts w:eastAsia="SimSun" w:cs="Mangal"/>
          <w:kern w:val="1"/>
          <w:sz w:val="24"/>
          <w:szCs w:val="24"/>
          <w:lang w:eastAsia="hi-IN" w:bidi="hi-IN"/>
        </w:rPr>
      </w:pPr>
    </w:p>
    <w:p w:rsidR="001A4D79" w:rsidRDefault="001A4D79" w:rsidP="00E00316">
      <w:pPr>
        <w:widowControl w:val="0"/>
        <w:suppressAutoHyphens/>
        <w:spacing w:after="0" w:line="240" w:lineRule="auto"/>
        <w:jc w:val="both"/>
        <w:rPr>
          <w:rFonts w:eastAsia="SimSun" w:cs="Mangal"/>
          <w:kern w:val="1"/>
          <w:sz w:val="24"/>
          <w:szCs w:val="24"/>
          <w:lang w:eastAsia="hi-IN" w:bidi="hi-IN"/>
        </w:rPr>
      </w:pPr>
      <w:r w:rsidRPr="001A4D79">
        <w:rPr>
          <w:rFonts w:eastAsia="SimSun" w:cs="Mangal"/>
          <w:kern w:val="1"/>
          <w:sz w:val="24"/>
          <w:szCs w:val="24"/>
          <w:lang w:eastAsia="hi-IN" w:bidi="hi-IN"/>
        </w:rPr>
        <w:t>The numbers of prisoners participating in accredited vocational training courses increased from 314 in 2007 to 1,459 in 2012. However, the Inspector of Prisons has urged caution in the treatment of these figures, and has called for vigilance by prison management to ensure that there is no double counting</w:t>
      </w:r>
      <w:r w:rsidRPr="00E00316">
        <w:rPr>
          <w:rFonts w:eastAsia="SimSun" w:cs="Mangal"/>
          <w:kern w:val="1"/>
          <w:sz w:val="24"/>
          <w:szCs w:val="24"/>
          <w:vertAlign w:val="superscript"/>
          <w:lang w:eastAsia="hi-IN" w:bidi="hi-IN"/>
        </w:rPr>
        <w:footnoteReference w:id="20"/>
      </w:r>
      <w:r w:rsidRPr="001A4D79">
        <w:rPr>
          <w:rFonts w:eastAsia="SimSun" w:cs="Mangal"/>
          <w:kern w:val="1"/>
          <w:sz w:val="24"/>
          <w:szCs w:val="24"/>
          <w:lang w:eastAsia="hi-IN" w:bidi="hi-IN"/>
        </w:rPr>
        <w:t xml:space="preserve">. </w:t>
      </w:r>
    </w:p>
    <w:p w:rsidR="00C07D2D" w:rsidRDefault="00C07D2D" w:rsidP="00E00316">
      <w:pPr>
        <w:widowControl w:val="0"/>
        <w:suppressAutoHyphens/>
        <w:spacing w:after="0" w:line="240" w:lineRule="auto"/>
        <w:jc w:val="both"/>
        <w:rPr>
          <w:rFonts w:eastAsia="SimSun" w:cs="Mangal"/>
          <w:kern w:val="1"/>
          <w:sz w:val="24"/>
          <w:szCs w:val="24"/>
          <w:lang w:eastAsia="hi-IN" w:bidi="hi-IN"/>
        </w:rPr>
      </w:pPr>
    </w:p>
    <w:p w:rsidR="00C07D2D" w:rsidRPr="001A4D79" w:rsidRDefault="00C07D2D" w:rsidP="00E00316">
      <w:pPr>
        <w:widowControl w:val="0"/>
        <w:suppressAutoHyphens/>
        <w:spacing w:after="0" w:line="240" w:lineRule="auto"/>
        <w:jc w:val="both"/>
        <w:rPr>
          <w:rFonts w:eastAsia="SimSun" w:cs="Times New Roman"/>
          <w:kern w:val="1"/>
          <w:sz w:val="24"/>
          <w:szCs w:val="24"/>
          <w:lang w:eastAsia="hi-IN" w:bidi="hi-IN"/>
        </w:rPr>
      </w:pPr>
      <w:r>
        <w:rPr>
          <w:rFonts w:eastAsia="SimSun" w:cs="Times New Roman"/>
          <w:kern w:val="1"/>
          <w:sz w:val="24"/>
          <w:szCs w:val="24"/>
          <w:lang w:eastAsia="hi-IN" w:bidi="hi-IN"/>
        </w:rPr>
        <w:t xml:space="preserve">IPRT would make a number of recommendations in relation to the issue of reformation and social rehabilitation. </w:t>
      </w:r>
      <w:r w:rsidRPr="001A4D79">
        <w:rPr>
          <w:rFonts w:eastAsia="SimSun" w:cs="Times New Roman"/>
          <w:kern w:val="1"/>
          <w:sz w:val="24"/>
          <w:szCs w:val="24"/>
          <w:lang w:eastAsia="hi-IN" w:bidi="hi-IN"/>
        </w:rPr>
        <w:t>Adequate health care facilities must be provided in prisons, including in particular adequate mental health assessment and services, and drug-dependency services</w:t>
      </w:r>
      <w:r w:rsidRPr="00E00316">
        <w:rPr>
          <w:rFonts w:eastAsia="SimSun" w:cs="Times New Roman"/>
          <w:kern w:val="1"/>
          <w:sz w:val="24"/>
          <w:szCs w:val="24"/>
          <w:vertAlign w:val="superscript"/>
          <w:lang w:eastAsia="hi-IN" w:bidi="hi-IN"/>
        </w:rPr>
        <w:footnoteReference w:id="21"/>
      </w:r>
      <w:r>
        <w:rPr>
          <w:rFonts w:eastAsia="SimSun" w:cs="Times New Roman"/>
          <w:kern w:val="1"/>
          <w:sz w:val="24"/>
          <w:szCs w:val="24"/>
          <w:lang w:eastAsia="hi-IN" w:bidi="hi-IN"/>
        </w:rPr>
        <w:t xml:space="preserve">. </w:t>
      </w:r>
      <w:r w:rsidRPr="001A4D79">
        <w:rPr>
          <w:rFonts w:eastAsia="Times New Roman" w:cs="Times New Roman"/>
          <w:sz w:val="24"/>
          <w:szCs w:val="24"/>
          <w:lang w:val="en-GB" w:eastAsia="en-GB"/>
        </w:rPr>
        <w:t xml:space="preserve">The main focus for 18 to 20 year </w:t>
      </w:r>
      <w:r w:rsidR="004C7EF6">
        <w:rPr>
          <w:rFonts w:eastAsia="Times New Roman" w:cs="Times New Roman"/>
          <w:sz w:val="24"/>
          <w:szCs w:val="24"/>
          <w:lang w:val="en-GB" w:eastAsia="en-GB"/>
        </w:rPr>
        <w:t xml:space="preserve">old </w:t>
      </w:r>
      <w:r w:rsidRPr="001A4D79">
        <w:rPr>
          <w:rFonts w:eastAsia="Times New Roman" w:cs="Times New Roman"/>
          <w:sz w:val="24"/>
          <w:szCs w:val="24"/>
          <w:lang w:val="en-GB" w:eastAsia="en-GB"/>
        </w:rPr>
        <w:t>prisoners must be on providing rehabilitation through education, work and training. This cohort should be accommodated on a separate wing(s) of a general prison(s) where they could recreate separately from the greater prison population. They could participate in education and work training with the general prison population</w:t>
      </w:r>
      <w:r w:rsidRPr="00E00316">
        <w:rPr>
          <w:rFonts w:eastAsia="Times New Roman" w:cs="Times New Roman"/>
          <w:sz w:val="24"/>
          <w:szCs w:val="24"/>
          <w:vertAlign w:val="superscript"/>
          <w:lang w:val="en-GB" w:eastAsia="en-GB"/>
        </w:rPr>
        <w:footnoteReference w:id="22"/>
      </w:r>
      <w:r w:rsidRPr="001A4D79">
        <w:rPr>
          <w:rFonts w:eastAsia="Times New Roman" w:cs="Times New Roman"/>
          <w:sz w:val="24"/>
          <w:szCs w:val="24"/>
          <w:lang w:val="en-GB" w:eastAsia="en-GB"/>
        </w:rPr>
        <w:t>.</w:t>
      </w:r>
      <w:r>
        <w:rPr>
          <w:rFonts w:eastAsia="SimSun" w:cs="Times New Roman"/>
          <w:kern w:val="1"/>
          <w:sz w:val="24"/>
          <w:szCs w:val="24"/>
          <w:lang w:eastAsia="hi-IN" w:bidi="hi-IN"/>
        </w:rPr>
        <w:t xml:space="preserve"> </w:t>
      </w:r>
      <w:r w:rsidRPr="001A4D79">
        <w:rPr>
          <w:rFonts w:eastAsia="Times New Roman" w:cs="Times New Roman"/>
          <w:sz w:val="24"/>
          <w:szCs w:val="24"/>
          <w:lang w:val="en-GB" w:eastAsia="en-GB"/>
        </w:rPr>
        <w:t xml:space="preserve">A separate small unit should be established to accommodate those 18 to 20 year old prisoners assessed as vulnerable; prisoners placed in such a unit should not be disadvantaged in such areas as education, healthcare, recreation, </w:t>
      </w:r>
      <w:proofErr w:type="spellStart"/>
      <w:proofErr w:type="gramStart"/>
      <w:r w:rsidRPr="001A4D79">
        <w:rPr>
          <w:rFonts w:eastAsia="Times New Roman" w:cs="Times New Roman"/>
          <w:sz w:val="24"/>
          <w:szCs w:val="24"/>
          <w:lang w:val="en-GB" w:eastAsia="en-GB"/>
        </w:rPr>
        <w:t>etc</w:t>
      </w:r>
      <w:proofErr w:type="spellEnd"/>
      <w:r w:rsidRPr="001A4D79">
        <w:rPr>
          <w:rFonts w:eastAsia="Times New Roman" w:cs="Times New Roman"/>
          <w:sz w:val="24"/>
          <w:szCs w:val="24"/>
          <w:lang w:val="en-GB" w:eastAsia="en-GB"/>
        </w:rPr>
        <w:t xml:space="preserve"> </w:t>
      </w:r>
      <w:proofErr w:type="gramEnd"/>
      <w:r w:rsidRPr="00E00316">
        <w:rPr>
          <w:rFonts w:eastAsia="Times New Roman" w:cs="Times New Roman"/>
          <w:sz w:val="24"/>
          <w:szCs w:val="24"/>
          <w:vertAlign w:val="superscript"/>
          <w:lang w:val="en-GB" w:eastAsia="en-GB"/>
        </w:rPr>
        <w:footnoteReference w:id="23"/>
      </w:r>
      <w:r w:rsidRPr="001A4D79">
        <w:rPr>
          <w:rFonts w:eastAsia="Times New Roman" w:cs="Times New Roman"/>
          <w:sz w:val="24"/>
          <w:szCs w:val="24"/>
          <w:lang w:val="en-GB" w:eastAsia="en-GB"/>
        </w:rPr>
        <w:t>.</w:t>
      </w:r>
      <w:r>
        <w:rPr>
          <w:rFonts w:eastAsia="SimSun" w:cs="Times New Roman"/>
          <w:kern w:val="1"/>
          <w:sz w:val="24"/>
          <w:szCs w:val="24"/>
          <w:lang w:eastAsia="hi-IN" w:bidi="hi-IN"/>
        </w:rPr>
        <w:t xml:space="preserve"> </w:t>
      </w:r>
      <w:r w:rsidRPr="001A4D79">
        <w:rPr>
          <w:rFonts w:eastAsia="SimSun" w:cs="Mangal"/>
          <w:kern w:val="1"/>
          <w:sz w:val="24"/>
          <w:szCs w:val="24"/>
          <w:lang w:eastAsia="hi-IN" w:bidi="hi-IN"/>
        </w:rPr>
        <w:t>Young people leaving detention have ongoing and complex care needs similar to young people leaving care. The commitment by the Minister for Children and Youth Affairs to introduce a statutory right to an aftercare plan should be extended to include those in detention</w:t>
      </w:r>
      <w:r w:rsidRPr="00E00316">
        <w:rPr>
          <w:rFonts w:eastAsia="SimSun" w:cs="Mangal"/>
          <w:kern w:val="1"/>
          <w:sz w:val="24"/>
          <w:szCs w:val="24"/>
          <w:vertAlign w:val="superscript"/>
          <w:lang w:eastAsia="hi-IN" w:bidi="hi-IN"/>
        </w:rPr>
        <w:footnoteReference w:id="24"/>
      </w:r>
      <w:r w:rsidRPr="001A4D79">
        <w:rPr>
          <w:rFonts w:eastAsia="SimSun" w:cs="Mangal"/>
          <w:kern w:val="1"/>
          <w:sz w:val="24"/>
          <w:szCs w:val="24"/>
          <w:lang w:eastAsia="hi-IN" w:bidi="hi-IN"/>
        </w:rPr>
        <w:t>.</w:t>
      </w:r>
    </w:p>
    <w:p w:rsidR="001A4D79" w:rsidRPr="001A4D79" w:rsidRDefault="001A4D79" w:rsidP="00E00316">
      <w:pPr>
        <w:widowControl w:val="0"/>
        <w:suppressAutoHyphens/>
        <w:spacing w:after="0" w:line="240" w:lineRule="auto"/>
        <w:jc w:val="both"/>
        <w:rPr>
          <w:rFonts w:eastAsia="SimSun" w:cs="Times New Roman"/>
          <w:b/>
          <w:kern w:val="1"/>
          <w:sz w:val="24"/>
          <w:szCs w:val="24"/>
          <w:lang w:eastAsia="hi-IN" w:bidi="hi-IN"/>
        </w:rPr>
      </w:pPr>
    </w:p>
    <w:p w:rsidR="001A4D79" w:rsidRPr="001A4D79" w:rsidRDefault="00C07D2D" w:rsidP="00E00316">
      <w:pPr>
        <w:widowControl w:val="0"/>
        <w:suppressAutoHyphens/>
        <w:spacing w:after="0" w:line="240" w:lineRule="auto"/>
        <w:jc w:val="both"/>
        <w:rPr>
          <w:rFonts w:eastAsia="SimSun" w:cs="Times New Roman"/>
          <w:b/>
          <w:kern w:val="1"/>
          <w:sz w:val="24"/>
          <w:szCs w:val="24"/>
          <w:lang w:eastAsia="hi-IN" w:bidi="hi-IN"/>
        </w:rPr>
      </w:pPr>
      <w:r w:rsidRPr="00C07D2D">
        <w:rPr>
          <w:rFonts w:eastAsia="SimSun" w:cs="Times New Roman"/>
          <w:b/>
          <w:kern w:val="1"/>
          <w:sz w:val="24"/>
          <w:szCs w:val="24"/>
          <w:lang w:eastAsia="hi-IN" w:bidi="hi-IN"/>
        </w:rPr>
        <w:t xml:space="preserve">Article 10 - </w:t>
      </w:r>
      <w:r w:rsidR="001A4D79" w:rsidRPr="001A4D79">
        <w:rPr>
          <w:rFonts w:eastAsia="SimSun" w:cs="Times New Roman"/>
          <w:b/>
          <w:kern w:val="1"/>
          <w:sz w:val="24"/>
          <w:szCs w:val="24"/>
          <w:lang w:eastAsia="hi-IN" w:bidi="hi-IN"/>
        </w:rPr>
        <w:t>Integrated Sentence Management (Preparation for Release)</w:t>
      </w:r>
    </w:p>
    <w:p w:rsidR="001A4D79" w:rsidRPr="001A4D79" w:rsidRDefault="001A4D79" w:rsidP="00E00316">
      <w:pPr>
        <w:widowControl w:val="0"/>
        <w:suppressAutoHyphens/>
        <w:spacing w:after="0" w:line="240" w:lineRule="auto"/>
        <w:jc w:val="both"/>
        <w:rPr>
          <w:rFonts w:eastAsia="SimSun" w:cs="Mangal"/>
          <w:kern w:val="1"/>
          <w:sz w:val="24"/>
          <w:szCs w:val="24"/>
          <w:lang w:eastAsia="hi-IN" w:bidi="hi-IN"/>
        </w:rPr>
      </w:pPr>
      <w:bookmarkStart w:id="1" w:name="N22"/>
      <w:r w:rsidRPr="001A4D79">
        <w:rPr>
          <w:rFonts w:eastAsia="SimSun" w:cs="Mangal"/>
          <w:kern w:val="1"/>
          <w:sz w:val="24"/>
          <w:szCs w:val="24"/>
          <w:lang w:eastAsia="hi-IN" w:bidi="hi-IN"/>
        </w:rPr>
        <w:t xml:space="preserve">The development of Integrated Sentence Management (ISM) and the delivery of prison-based rehabilitative programmes such as education, work training and resettlement programmes, forms a central part of the Irish Prison Service </w:t>
      </w:r>
      <w:r w:rsidRPr="001A4D79">
        <w:rPr>
          <w:rFonts w:eastAsia="SimSun" w:cs="Mangal"/>
          <w:i/>
          <w:kern w:val="1"/>
          <w:sz w:val="24"/>
          <w:szCs w:val="24"/>
          <w:lang w:eastAsia="hi-IN" w:bidi="hi-IN"/>
        </w:rPr>
        <w:t>Three Year Strategic Plan 2012-2015</w:t>
      </w:r>
      <w:r w:rsidRPr="00E00316">
        <w:rPr>
          <w:rFonts w:eastAsia="SimSun" w:cs="Mangal"/>
          <w:kern w:val="1"/>
          <w:sz w:val="24"/>
          <w:szCs w:val="24"/>
          <w:vertAlign w:val="superscript"/>
          <w:lang w:eastAsia="hi-IN" w:bidi="hi-IN"/>
        </w:rPr>
        <w:footnoteReference w:id="25"/>
      </w:r>
      <w:r w:rsidRPr="001A4D79">
        <w:rPr>
          <w:rFonts w:eastAsia="SimSun" w:cs="Mangal"/>
          <w:kern w:val="1"/>
          <w:sz w:val="24"/>
          <w:szCs w:val="24"/>
          <w:lang w:eastAsia="hi-IN" w:bidi="hi-IN"/>
        </w:rPr>
        <w:t xml:space="preserve">. </w:t>
      </w:r>
      <w:bookmarkEnd w:id="1"/>
      <w:r w:rsidRPr="001A4D79">
        <w:rPr>
          <w:rFonts w:eastAsia="SimSun" w:cs="Mangal"/>
          <w:kern w:val="1"/>
          <w:sz w:val="24"/>
          <w:szCs w:val="24"/>
          <w:lang w:eastAsia="hi-IN" w:bidi="hi-IN"/>
        </w:rPr>
        <w:t>At the end of April 2013, there were over 2,300 current and active cases, and over 1,000 prisoners had sentence plans in place. There are currently sixteen ISM Co-ordinators in place in ten institutions. IPRT is concerned at sixteen ISM Co-ordinators having a reported caseload of over 2,300 current and active cases, and the lack of ISM Co-ordinators in Cork, Shelton Abbey, Limerick Male and Limerick Female Prison</w:t>
      </w:r>
      <w:r w:rsidR="00C07D2D">
        <w:rPr>
          <w:rFonts w:eastAsia="SimSun" w:cs="Mangal"/>
          <w:kern w:val="1"/>
          <w:sz w:val="24"/>
          <w:szCs w:val="24"/>
          <w:lang w:eastAsia="hi-IN" w:bidi="hi-IN"/>
        </w:rPr>
        <w:t>.</w:t>
      </w:r>
    </w:p>
    <w:p w:rsidR="001A4D79" w:rsidRDefault="001A4D79" w:rsidP="00E00316">
      <w:pPr>
        <w:widowControl w:val="0"/>
        <w:suppressAutoHyphens/>
        <w:spacing w:after="0" w:line="240" w:lineRule="auto"/>
        <w:jc w:val="both"/>
        <w:rPr>
          <w:rFonts w:eastAsia="SimSun" w:cs="Times New Roman"/>
          <w:b/>
          <w:kern w:val="1"/>
          <w:sz w:val="24"/>
          <w:szCs w:val="24"/>
          <w:lang w:eastAsia="hi-IN" w:bidi="hi-IN"/>
        </w:rPr>
      </w:pPr>
    </w:p>
    <w:p w:rsidR="00C07D2D" w:rsidRPr="001A4D79" w:rsidRDefault="00C07D2D" w:rsidP="00C07D2D">
      <w:pPr>
        <w:widowControl w:val="0"/>
        <w:suppressAutoHyphens/>
        <w:spacing w:after="0" w:line="240" w:lineRule="auto"/>
        <w:jc w:val="both"/>
        <w:rPr>
          <w:rFonts w:eastAsia="SimSun" w:cs="Mangal"/>
          <w:kern w:val="1"/>
          <w:sz w:val="24"/>
          <w:szCs w:val="24"/>
          <w:lang w:eastAsia="hi-IN" w:bidi="hi-IN"/>
        </w:rPr>
      </w:pPr>
      <w:r>
        <w:rPr>
          <w:rFonts w:eastAsia="SimSun" w:cs="Mangal"/>
          <w:kern w:val="1"/>
          <w:sz w:val="24"/>
          <w:szCs w:val="24"/>
          <w:lang w:eastAsia="hi-IN" w:bidi="hi-IN"/>
        </w:rPr>
        <w:t xml:space="preserve">IPRT considers that </w:t>
      </w:r>
      <w:r w:rsidR="004C7EF6">
        <w:rPr>
          <w:rFonts w:eastAsia="SimSun" w:cs="Mangal"/>
          <w:kern w:val="1"/>
          <w:sz w:val="24"/>
          <w:szCs w:val="24"/>
          <w:lang w:eastAsia="hi-IN" w:bidi="hi-IN"/>
        </w:rPr>
        <w:t>it is impe</w:t>
      </w:r>
      <w:r w:rsidR="00CD4FD5">
        <w:rPr>
          <w:rFonts w:eastAsia="SimSun" w:cs="Mangal"/>
          <w:kern w:val="1"/>
          <w:sz w:val="24"/>
          <w:szCs w:val="24"/>
          <w:lang w:eastAsia="hi-IN" w:bidi="hi-IN"/>
        </w:rPr>
        <w:t xml:space="preserve">rative that the ISM system is implemented in a </w:t>
      </w:r>
      <w:r w:rsidR="004C7EF6">
        <w:rPr>
          <w:rFonts w:eastAsia="SimSun" w:cs="Mangal"/>
          <w:kern w:val="1"/>
          <w:sz w:val="24"/>
          <w:szCs w:val="24"/>
          <w:lang w:eastAsia="hi-IN" w:bidi="hi-IN"/>
        </w:rPr>
        <w:t xml:space="preserve">meaningful and effective </w:t>
      </w:r>
      <w:r w:rsidR="00152059">
        <w:rPr>
          <w:rFonts w:eastAsia="SimSun" w:cs="Mangal"/>
          <w:kern w:val="1"/>
          <w:sz w:val="24"/>
          <w:szCs w:val="24"/>
          <w:lang w:eastAsia="hi-IN" w:bidi="hi-IN"/>
        </w:rPr>
        <w:t xml:space="preserve">manner which genuinely addresses </w:t>
      </w:r>
      <w:proofErr w:type="gramStart"/>
      <w:r w:rsidR="00152059">
        <w:rPr>
          <w:rFonts w:eastAsia="SimSun" w:cs="Mangal"/>
          <w:kern w:val="1"/>
          <w:sz w:val="24"/>
          <w:szCs w:val="24"/>
          <w:lang w:eastAsia="hi-IN" w:bidi="hi-IN"/>
        </w:rPr>
        <w:t>prisoners</w:t>
      </w:r>
      <w:proofErr w:type="gramEnd"/>
      <w:r w:rsidR="00152059">
        <w:rPr>
          <w:rFonts w:eastAsia="SimSun" w:cs="Mangal"/>
          <w:kern w:val="1"/>
          <w:sz w:val="24"/>
          <w:szCs w:val="24"/>
          <w:lang w:eastAsia="hi-IN" w:bidi="hi-IN"/>
        </w:rPr>
        <w:t xml:space="preserve"> needs. </w:t>
      </w:r>
      <w:r w:rsidR="00CD4FD5">
        <w:rPr>
          <w:rFonts w:eastAsia="SimSun" w:cs="Mangal"/>
          <w:kern w:val="1"/>
          <w:sz w:val="24"/>
          <w:szCs w:val="24"/>
          <w:lang w:eastAsia="hi-IN" w:bidi="hi-IN"/>
        </w:rPr>
        <w:t>F</w:t>
      </w:r>
      <w:r w:rsidRPr="001A4D79">
        <w:rPr>
          <w:rFonts w:eastAsia="SimSun" w:cs="Mangal"/>
          <w:kern w:val="1"/>
          <w:sz w:val="24"/>
          <w:szCs w:val="24"/>
          <w:lang w:eastAsia="hi-IN" w:bidi="hi-IN"/>
        </w:rPr>
        <w:t xml:space="preserve">ull-time ISM Co-ordinators must be assigned to all prisons in order to enhance the effectiveness of the sentence management system and facilitate the growing number of prisoners participating in the process. </w:t>
      </w:r>
    </w:p>
    <w:p w:rsidR="00923D26" w:rsidRPr="001A4D79" w:rsidRDefault="00923D26" w:rsidP="00E00316">
      <w:pPr>
        <w:widowControl w:val="0"/>
        <w:suppressAutoHyphens/>
        <w:spacing w:after="0" w:line="240" w:lineRule="auto"/>
        <w:jc w:val="both"/>
        <w:rPr>
          <w:rFonts w:eastAsia="SimSun" w:cs="Times New Roman"/>
          <w:b/>
          <w:kern w:val="1"/>
          <w:sz w:val="24"/>
          <w:szCs w:val="24"/>
          <w:lang w:eastAsia="hi-IN" w:bidi="hi-IN"/>
        </w:rPr>
      </w:pPr>
    </w:p>
    <w:p w:rsidR="001A4D79" w:rsidRPr="001A4D79" w:rsidRDefault="00C07D2D" w:rsidP="00E00316">
      <w:pPr>
        <w:widowControl w:val="0"/>
        <w:suppressAutoHyphens/>
        <w:spacing w:after="0" w:line="240" w:lineRule="auto"/>
        <w:jc w:val="both"/>
        <w:rPr>
          <w:rFonts w:eastAsia="SimSun" w:cs="Times New Roman"/>
          <w:b/>
          <w:kern w:val="1"/>
          <w:sz w:val="24"/>
          <w:szCs w:val="24"/>
          <w:lang w:eastAsia="hi-IN" w:bidi="hi-IN"/>
        </w:rPr>
      </w:pPr>
      <w:r w:rsidRPr="00C07D2D">
        <w:rPr>
          <w:rFonts w:eastAsia="SimSun" w:cs="Times New Roman"/>
          <w:b/>
          <w:kern w:val="1"/>
          <w:sz w:val="24"/>
          <w:szCs w:val="24"/>
          <w:lang w:eastAsia="hi-IN" w:bidi="hi-IN"/>
        </w:rPr>
        <w:t xml:space="preserve">Article 10 - </w:t>
      </w:r>
      <w:r w:rsidR="001A4D79" w:rsidRPr="001A4D79">
        <w:rPr>
          <w:rFonts w:eastAsia="SimSun" w:cs="Times New Roman"/>
          <w:b/>
          <w:kern w:val="1"/>
          <w:sz w:val="24"/>
          <w:szCs w:val="24"/>
          <w:lang w:eastAsia="hi-IN" w:bidi="hi-IN"/>
        </w:rPr>
        <w:t>Spent Convictions</w:t>
      </w:r>
    </w:p>
    <w:p w:rsidR="001A4D79" w:rsidRPr="001A4D79" w:rsidRDefault="001A4D79" w:rsidP="00E00316">
      <w:pPr>
        <w:widowControl w:val="0"/>
        <w:suppressAutoHyphens/>
        <w:spacing w:after="0" w:line="240" w:lineRule="auto"/>
        <w:jc w:val="both"/>
        <w:rPr>
          <w:rFonts w:eastAsia="SimSun" w:cs="Times New Roman"/>
          <w:kern w:val="1"/>
          <w:sz w:val="24"/>
          <w:szCs w:val="24"/>
          <w:lang w:eastAsia="hi-IN" w:bidi="hi-IN"/>
        </w:rPr>
      </w:pPr>
      <w:r w:rsidRPr="001A4D79">
        <w:rPr>
          <w:rFonts w:eastAsia="SimSun" w:cs="Times New Roman"/>
          <w:kern w:val="1"/>
          <w:sz w:val="24"/>
          <w:szCs w:val="24"/>
          <w:lang w:eastAsia="hi-IN" w:bidi="hi-IN"/>
        </w:rPr>
        <w:t xml:space="preserve">The </w:t>
      </w:r>
      <w:r w:rsidR="00C07D2D">
        <w:rPr>
          <w:rFonts w:eastAsia="SimSun" w:cs="Times New Roman"/>
          <w:kern w:val="1"/>
          <w:sz w:val="24"/>
          <w:szCs w:val="24"/>
          <w:lang w:eastAsia="hi-IN" w:bidi="hi-IN"/>
        </w:rPr>
        <w:t xml:space="preserve">continuing </w:t>
      </w:r>
      <w:r w:rsidRPr="001A4D79">
        <w:rPr>
          <w:rFonts w:eastAsia="SimSun" w:cs="Times New Roman"/>
          <w:kern w:val="1"/>
          <w:sz w:val="24"/>
          <w:szCs w:val="24"/>
          <w:lang w:eastAsia="hi-IN" w:bidi="hi-IN"/>
        </w:rPr>
        <w:t>absence of any system for expunging convictions has the effect of making the punishment of crime permanent with substantial collateral consequences for the convicted person.</w:t>
      </w:r>
    </w:p>
    <w:p w:rsidR="001A4D79" w:rsidRPr="001A4D79" w:rsidRDefault="001A4D79" w:rsidP="00E00316">
      <w:pPr>
        <w:widowControl w:val="0"/>
        <w:suppressAutoHyphens/>
        <w:spacing w:after="0" w:line="240" w:lineRule="auto"/>
        <w:jc w:val="both"/>
        <w:rPr>
          <w:rFonts w:eastAsia="SimSun" w:cs="Times New Roman"/>
          <w:b/>
          <w:kern w:val="1"/>
          <w:sz w:val="24"/>
          <w:szCs w:val="24"/>
          <w:lang w:eastAsia="hi-IN" w:bidi="hi-IN"/>
        </w:rPr>
      </w:pPr>
    </w:p>
    <w:p w:rsidR="001A4D79" w:rsidRPr="001A4D79" w:rsidRDefault="001A4D79" w:rsidP="00C07D2D">
      <w:pPr>
        <w:widowControl w:val="0"/>
        <w:suppressAutoHyphens/>
        <w:spacing w:after="0" w:line="240" w:lineRule="auto"/>
        <w:jc w:val="both"/>
        <w:rPr>
          <w:rFonts w:eastAsia="SimSun" w:cs="Times New Roman"/>
          <w:kern w:val="1"/>
          <w:sz w:val="24"/>
          <w:szCs w:val="24"/>
          <w:lang w:eastAsia="hi-IN" w:bidi="hi-IN"/>
        </w:rPr>
      </w:pPr>
      <w:r w:rsidRPr="001A4D79">
        <w:rPr>
          <w:rFonts w:eastAsia="SimSun" w:cs="Times New Roman"/>
          <w:kern w:val="1"/>
          <w:sz w:val="24"/>
          <w:szCs w:val="24"/>
          <w:lang w:eastAsia="hi-IN" w:bidi="hi-IN"/>
        </w:rPr>
        <w:t xml:space="preserve">The </w:t>
      </w:r>
      <w:r w:rsidRPr="001A4D79">
        <w:rPr>
          <w:rFonts w:eastAsia="SimSun" w:cs="Times New Roman"/>
          <w:i/>
          <w:kern w:val="1"/>
          <w:sz w:val="24"/>
          <w:szCs w:val="24"/>
          <w:lang w:eastAsia="hi-IN" w:bidi="hi-IN"/>
        </w:rPr>
        <w:t>Criminal Justice (Spent Convictions) Bill 2012</w:t>
      </w:r>
      <w:r w:rsidRPr="001A4D79">
        <w:rPr>
          <w:rFonts w:eastAsia="SimSun" w:cs="Times New Roman"/>
          <w:kern w:val="1"/>
          <w:sz w:val="24"/>
          <w:szCs w:val="24"/>
          <w:lang w:eastAsia="hi-IN" w:bidi="hi-IN"/>
        </w:rPr>
        <w:t xml:space="preserve"> must be progressed and enacted with urgency.</w:t>
      </w:r>
      <w:r w:rsidR="00C07D2D">
        <w:rPr>
          <w:rFonts w:eastAsia="SimSun" w:cs="Times New Roman"/>
          <w:kern w:val="1"/>
          <w:sz w:val="24"/>
          <w:szCs w:val="24"/>
          <w:lang w:eastAsia="hi-IN" w:bidi="hi-IN"/>
        </w:rPr>
        <w:t xml:space="preserve"> </w:t>
      </w:r>
      <w:r w:rsidRPr="001A4D79">
        <w:rPr>
          <w:rFonts w:eastAsia="SimSun" w:cs="Times New Roman"/>
          <w:kern w:val="1"/>
          <w:sz w:val="24"/>
          <w:szCs w:val="24"/>
          <w:lang w:eastAsia="hi-IN" w:bidi="hi-IN"/>
        </w:rPr>
        <w:t xml:space="preserve">Among a number of proposed amendments, IPRT has called for the 12-month limit for qualifying </w:t>
      </w:r>
      <w:r w:rsidRPr="001A4D79">
        <w:rPr>
          <w:rFonts w:eastAsia="SimSun" w:cs="Times New Roman"/>
          <w:kern w:val="1"/>
          <w:sz w:val="24"/>
          <w:szCs w:val="24"/>
          <w:lang w:eastAsia="hi-IN" w:bidi="hi-IN"/>
        </w:rPr>
        <w:lastRenderedPageBreak/>
        <w:t>custodial sentences to be increased to a minimum of 48 months</w:t>
      </w:r>
      <w:r w:rsidRPr="00E00316">
        <w:rPr>
          <w:rFonts w:eastAsia="SimSun" w:cs="Times New Roman"/>
          <w:kern w:val="1"/>
          <w:sz w:val="24"/>
          <w:szCs w:val="24"/>
          <w:vertAlign w:val="superscript"/>
          <w:lang w:eastAsia="hi-IN" w:bidi="hi-IN"/>
        </w:rPr>
        <w:footnoteReference w:id="26"/>
      </w:r>
      <w:r w:rsidRPr="001A4D79">
        <w:rPr>
          <w:rFonts w:eastAsia="SimSun" w:cs="Times New Roman"/>
          <w:kern w:val="1"/>
          <w:sz w:val="24"/>
          <w:szCs w:val="24"/>
          <w:lang w:eastAsia="hi-IN" w:bidi="hi-IN"/>
        </w:rPr>
        <w:t>.</w:t>
      </w:r>
      <w:r w:rsidR="00C07D2D">
        <w:rPr>
          <w:rFonts w:eastAsia="SimSun" w:cs="Times New Roman"/>
          <w:kern w:val="1"/>
          <w:sz w:val="24"/>
          <w:szCs w:val="24"/>
          <w:lang w:eastAsia="hi-IN" w:bidi="hi-IN"/>
        </w:rPr>
        <w:t xml:space="preserve"> </w:t>
      </w:r>
      <w:r w:rsidRPr="001A4D79">
        <w:rPr>
          <w:rFonts w:eastAsia="SimSun" w:cs="Times New Roman"/>
          <w:kern w:val="1"/>
          <w:sz w:val="24"/>
          <w:szCs w:val="24"/>
          <w:lang w:eastAsia="hi-IN" w:bidi="hi-IN"/>
        </w:rPr>
        <w:t>While it is critically important that any sensitive area of public employment or any work with children or vulnerable individuals should be given special attention, the exclusion of any area of employment from the Bill should be justified by demonstration of clear link to a particular risk</w:t>
      </w:r>
      <w:r w:rsidRPr="00E00316">
        <w:rPr>
          <w:rFonts w:eastAsia="SimSun" w:cs="Times New Roman"/>
          <w:kern w:val="1"/>
          <w:sz w:val="24"/>
          <w:szCs w:val="24"/>
          <w:vertAlign w:val="superscript"/>
          <w:lang w:eastAsia="hi-IN" w:bidi="hi-IN"/>
        </w:rPr>
        <w:footnoteReference w:id="27"/>
      </w:r>
      <w:r w:rsidRPr="001A4D79">
        <w:rPr>
          <w:rFonts w:eastAsia="SimSun" w:cs="Times New Roman"/>
          <w:kern w:val="1"/>
          <w:sz w:val="24"/>
          <w:szCs w:val="24"/>
          <w:lang w:eastAsia="hi-IN" w:bidi="hi-IN"/>
        </w:rPr>
        <w:t>.</w:t>
      </w:r>
    </w:p>
    <w:p w:rsidR="001A4D79" w:rsidRPr="001A4D79" w:rsidRDefault="001A4D79" w:rsidP="00E00316">
      <w:pPr>
        <w:widowControl w:val="0"/>
        <w:suppressAutoHyphens/>
        <w:spacing w:after="0" w:line="240" w:lineRule="auto"/>
        <w:jc w:val="both"/>
        <w:rPr>
          <w:rFonts w:eastAsia="SimSun" w:cs="Times New Roman"/>
          <w:kern w:val="1"/>
          <w:sz w:val="24"/>
          <w:szCs w:val="24"/>
          <w:lang w:eastAsia="hi-IN" w:bidi="hi-IN"/>
        </w:rPr>
      </w:pPr>
    </w:p>
    <w:p w:rsidR="00923D26" w:rsidRDefault="000F09B5" w:rsidP="00923D26">
      <w:pPr>
        <w:widowControl w:val="0"/>
        <w:suppressAutoHyphens/>
        <w:autoSpaceDE w:val="0"/>
        <w:spacing w:after="0" w:line="240" w:lineRule="auto"/>
        <w:jc w:val="both"/>
        <w:rPr>
          <w:rFonts w:eastAsia="SimSun" w:cs="Times New Roman"/>
          <w:i/>
          <w:kern w:val="1"/>
          <w:sz w:val="24"/>
          <w:szCs w:val="24"/>
          <w:lang w:eastAsia="hi-IN" w:bidi="hi-IN"/>
        </w:rPr>
      </w:pPr>
      <w:r w:rsidRPr="000F09B5">
        <w:rPr>
          <w:rFonts w:eastAsia="SimSun" w:cs="Times New Roman"/>
          <w:b/>
          <w:bCs/>
          <w:iCs/>
          <w:kern w:val="1"/>
          <w:sz w:val="24"/>
          <w:szCs w:val="24"/>
          <w:lang w:eastAsia="hi-IN" w:bidi="hi-IN"/>
        </w:rPr>
        <w:t>Article 17 – Prison Visits</w:t>
      </w:r>
    </w:p>
    <w:p w:rsidR="001A4D79" w:rsidRPr="001A4D79" w:rsidRDefault="001A4D79" w:rsidP="00923D26">
      <w:pPr>
        <w:widowControl w:val="0"/>
        <w:suppressAutoHyphens/>
        <w:autoSpaceDE w:val="0"/>
        <w:spacing w:after="0" w:line="240" w:lineRule="auto"/>
        <w:jc w:val="both"/>
        <w:rPr>
          <w:rFonts w:eastAsia="SimSun" w:cs="Times New Roman"/>
          <w:i/>
          <w:kern w:val="1"/>
          <w:sz w:val="24"/>
          <w:szCs w:val="24"/>
          <w:lang w:eastAsia="hi-IN" w:bidi="hi-IN"/>
        </w:rPr>
      </w:pPr>
      <w:r w:rsidRPr="001A4D79">
        <w:rPr>
          <w:rFonts w:eastAsia="SimSun" w:cs="Mangal"/>
          <w:kern w:val="1"/>
          <w:sz w:val="24"/>
          <w:szCs w:val="24"/>
          <w:lang w:eastAsia="hi-IN" w:bidi="hi-IN"/>
        </w:rPr>
        <w:t xml:space="preserve">IPRT is concerned about the use of open-ended bans on visitors to prisoners, and recommends that any restrictions on contact be the subject of review. IPRT is also concerned that the possible length of a ban is not laid down in legislation or publically available policy. </w:t>
      </w:r>
      <w:r w:rsidRPr="001A4D79">
        <w:rPr>
          <w:rFonts w:eastAsia="SimSun" w:cs="Times New Roman"/>
          <w:kern w:val="1"/>
          <w:sz w:val="24"/>
          <w:szCs w:val="24"/>
          <w:lang w:eastAsia="hi-IN" w:bidi="hi-IN"/>
        </w:rPr>
        <w:t>Screened visits must only be used where is a specific security concern and not as standard;</w:t>
      </w:r>
      <w:r w:rsidRPr="001A4D79">
        <w:rPr>
          <w:rFonts w:eastAsia="SimSun" w:cs="Times New Roman"/>
          <w:b/>
          <w:kern w:val="1"/>
          <w:sz w:val="24"/>
          <w:szCs w:val="24"/>
          <w:lang w:eastAsia="hi-IN" w:bidi="hi-IN"/>
        </w:rPr>
        <w:t xml:space="preserve"> </w:t>
      </w:r>
      <w:r w:rsidRPr="001A4D79">
        <w:rPr>
          <w:rFonts w:eastAsia="SimSun" w:cs="Mangal"/>
          <w:kern w:val="1"/>
          <w:sz w:val="24"/>
          <w:szCs w:val="24"/>
          <w:lang w:eastAsia="hi-IN" w:bidi="hi-IN"/>
        </w:rPr>
        <w:t>the rights and best interests of children must be taken into account when decisions are made about non-contact visits.</w:t>
      </w:r>
      <w:r w:rsidR="000F09B5">
        <w:rPr>
          <w:rFonts w:eastAsia="SimSun" w:cs="Mangal"/>
          <w:kern w:val="1"/>
          <w:sz w:val="24"/>
          <w:szCs w:val="24"/>
          <w:lang w:eastAsia="hi-IN" w:bidi="hi-IN"/>
        </w:rPr>
        <w:t xml:space="preserve"> </w:t>
      </w:r>
      <w:r w:rsidRPr="001A4D79">
        <w:rPr>
          <w:rFonts w:eastAsia="SimSun" w:cs="Times New Roman"/>
          <w:kern w:val="1"/>
          <w:sz w:val="24"/>
          <w:szCs w:val="24"/>
          <w:lang w:eastAsia="hi-IN" w:bidi="hi-IN"/>
        </w:rPr>
        <w:t>Contact with the outside world should be facilitated to the greatest possible effect. Any restrictions should be strictly necessary and proportionate</w:t>
      </w:r>
      <w:r w:rsidRPr="00E00316">
        <w:rPr>
          <w:rFonts w:eastAsia="SimSun" w:cs="Times New Roman"/>
          <w:kern w:val="1"/>
          <w:sz w:val="24"/>
          <w:szCs w:val="24"/>
          <w:vertAlign w:val="superscript"/>
          <w:lang w:eastAsia="hi-IN" w:bidi="hi-IN"/>
        </w:rPr>
        <w:footnoteReference w:id="28"/>
      </w:r>
      <w:r w:rsidRPr="001A4D79">
        <w:rPr>
          <w:rFonts w:eastAsia="SimSun" w:cs="Times New Roman"/>
          <w:color w:val="000000"/>
          <w:kern w:val="1"/>
          <w:sz w:val="24"/>
          <w:szCs w:val="24"/>
          <w:lang w:eastAsia="hi-IN" w:bidi="hi-IN"/>
        </w:rPr>
        <w:t xml:space="preserve">. </w:t>
      </w:r>
      <w:r w:rsidR="00C071AD">
        <w:rPr>
          <w:rFonts w:eastAsia="SimSun" w:cs="Times New Roman"/>
          <w:color w:val="000000"/>
          <w:kern w:val="1"/>
          <w:sz w:val="24"/>
          <w:szCs w:val="24"/>
          <w:lang w:eastAsia="hi-IN" w:bidi="hi-IN"/>
        </w:rPr>
        <w:t>Prisoners</w:t>
      </w:r>
      <w:r w:rsidRPr="001A4D79">
        <w:rPr>
          <w:rFonts w:eastAsia="SimSun" w:cs="Times New Roman"/>
          <w:color w:val="000000"/>
          <w:kern w:val="1"/>
          <w:sz w:val="24"/>
          <w:szCs w:val="24"/>
          <w:lang w:eastAsia="hi-IN" w:bidi="hi-IN"/>
        </w:rPr>
        <w:t xml:space="preserve"> should not lose the right to communicate with their families, and the loss of family visits is not employed as a sanction in response to a breach of prison discipline.</w:t>
      </w:r>
      <w:r w:rsidR="000F09B5">
        <w:rPr>
          <w:rFonts w:eastAsia="SimSun" w:cs="Mangal"/>
          <w:kern w:val="1"/>
          <w:sz w:val="24"/>
          <w:szCs w:val="24"/>
          <w:lang w:eastAsia="hi-IN" w:bidi="hi-IN"/>
        </w:rPr>
        <w:t xml:space="preserve"> </w:t>
      </w:r>
      <w:r w:rsidRPr="001A4D79">
        <w:rPr>
          <w:rFonts w:eastAsia="SimSun" w:cs="Times New Roman"/>
          <w:kern w:val="1"/>
          <w:sz w:val="24"/>
          <w:szCs w:val="24"/>
          <w:lang w:eastAsia="hi-IN" w:bidi="hi-IN"/>
        </w:rPr>
        <w:t>Protection prisoners and other prisoners on restricted regimes must be facilitated to receive the same number and duration of family visits as other prisoners</w:t>
      </w:r>
      <w:r w:rsidRPr="00E00316">
        <w:rPr>
          <w:rFonts w:eastAsia="SimSun" w:cs="Times New Roman"/>
          <w:kern w:val="1"/>
          <w:sz w:val="24"/>
          <w:szCs w:val="24"/>
          <w:vertAlign w:val="superscript"/>
          <w:lang w:eastAsia="hi-IN" w:bidi="hi-IN"/>
        </w:rPr>
        <w:footnoteReference w:id="29"/>
      </w:r>
      <w:r w:rsidRPr="001A4D79">
        <w:rPr>
          <w:rFonts w:eastAsia="SimSun" w:cs="Times New Roman"/>
          <w:kern w:val="1"/>
          <w:sz w:val="24"/>
          <w:szCs w:val="24"/>
          <w:lang w:eastAsia="hi-IN" w:bidi="hi-IN"/>
        </w:rPr>
        <w:t>.</w:t>
      </w:r>
    </w:p>
    <w:p w:rsidR="001A4D79" w:rsidRPr="001A4D79" w:rsidRDefault="001A4D79" w:rsidP="000F09B5">
      <w:pPr>
        <w:widowControl w:val="0"/>
        <w:suppressAutoHyphens/>
        <w:spacing w:after="0" w:line="240" w:lineRule="auto"/>
        <w:jc w:val="both"/>
        <w:rPr>
          <w:rFonts w:eastAsia="SimSun" w:cs="Times New Roman"/>
          <w:kern w:val="1"/>
          <w:sz w:val="24"/>
          <w:szCs w:val="24"/>
          <w:lang w:eastAsia="hi-IN" w:bidi="hi-IN"/>
        </w:rPr>
      </w:pPr>
    </w:p>
    <w:p w:rsidR="000F09B5" w:rsidRDefault="001A4D79" w:rsidP="000F09B5">
      <w:pPr>
        <w:widowControl w:val="0"/>
        <w:suppressAutoHyphens/>
        <w:autoSpaceDE w:val="0"/>
        <w:spacing w:after="0" w:line="240" w:lineRule="auto"/>
        <w:jc w:val="both"/>
        <w:rPr>
          <w:rFonts w:eastAsia="SimSun" w:cs="Times New Roman"/>
          <w:b/>
          <w:bCs/>
          <w:iCs/>
          <w:kern w:val="1"/>
          <w:sz w:val="24"/>
          <w:szCs w:val="24"/>
          <w:lang w:eastAsia="hi-IN" w:bidi="hi-IN"/>
        </w:rPr>
      </w:pPr>
      <w:r w:rsidRPr="001A4D79">
        <w:rPr>
          <w:rFonts w:eastAsia="SimSun" w:cs="Times New Roman"/>
          <w:b/>
          <w:bCs/>
          <w:iCs/>
          <w:kern w:val="1"/>
          <w:sz w:val="24"/>
          <w:szCs w:val="24"/>
          <w:lang w:eastAsia="hi-IN" w:bidi="hi-IN"/>
        </w:rPr>
        <w:t>Article 18</w:t>
      </w:r>
      <w:r w:rsidR="000F09B5" w:rsidRPr="000F09B5">
        <w:rPr>
          <w:rFonts w:eastAsia="SimSun" w:cs="Times New Roman"/>
          <w:b/>
          <w:bCs/>
          <w:iCs/>
          <w:kern w:val="1"/>
          <w:sz w:val="24"/>
          <w:szCs w:val="24"/>
          <w:lang w:eastAsia="hi-IN" w:bidi="hi-IN"/>
        </w:rPr>
        <w:t xml:space="preserve"> – Freedom of Thought, Conscience and Religion</w:t>
      </w:r>
    </w:p>
    <w:p w:rsidR="001A4D79" w:rsidRPr="001A4D79" w:rsidRDefault="001A4D79" w:rsidP="000F09B5">
      <w:pPr>
        <w:widowControl w:val="0"/>
        <w:suppressAutoHyphens/>
        <w:autoSpaceDE w:val="0"/>
        <w:spacing w:after="0" w:line="240" w:lineRule="auto"/>
        <w:jc w:val="both"/>
        <w:rPr>
          <w:rFonts w:eastAsia="SimSun" w:cs="Times New Roman"/>
          <w:b/>
          <w:bCs/>
          <w:iCs/>
          <w:kern w:val="1"/>
          <w:sz w:val="24"/>
          <w:szCs w:val="24"/>
          <w:lang w:eastAsia="hi-IN" w:bidi="hi-IN"/>
        </w:rPr>
      </w:pPr>
      <w:r w:rsidRPr="001A4D79">
        <w:rPr>
          <w:rFonts w:eastAsia="SimSun" w:cs="Times New Roman"/>
          <w:kern w:val="1"/>
          <w:sz w:val="24"/>
          <w:szCs w:val="24"/>
          <w:lang w:eastAsia="hi-IN" w:bidi="hi-IN"/>
        </w:rPr>
        <w:t xml:space="preserve">Prisoners with particular expressions of religious practice and associated dietary customs (Halal diet, </w:t>
      </w:r>
      <w:proofErr w:type="gramStart"/>
      <w:r w:rsidRPr="001A4D79">
        <w:rPr>
          <w:rFonts w:eastAsia="SimSun" w:cs="Times New Roman"/>
          <w:kern w:val="1"/>
          <w:sz w:val="24"/>
          <w:szCs w:val="24"/>
          <w:lang w:eastAsia="hi-IN" w:bidi="hi-IN"/>
        </w:rPr>
        <w:t>Kosher</w:t>
      </w:r>
      <w:proofErr w:type="gramEnd"/>
      <w:r w:rsidRPr="001A4D79">
        <w:rPr>
          <w:rFonts w:eastAsia="SimSun" w:cs="Times New Roman"/>
          <w:kern w:val="1"/>
          <w:sz w:val="24"/>
          <w:szCs w:val="24"/>
          <w:lang w:eastAsia="hi-IN" w:bidi="hi-IN"/>
        </w:rPr>
        <w:t xml:space="preserve"> diet, strict vegetarianism) should, as far as possible, be supported in the dietary practices of their religion or culture.</w:t>
      </w:r>
    </w:p>
    <w:p w:rsidR="001A4D79" w:rsidRPr="001A4D79" w:rsidRDefault="001A4D79" w:rsidP="000F09B5">
      <w:pPr>
        <w:widowControl w:val="0"/>
        <w:suppressAutoHyphens/>
        <w:spacing w:after="0" w:line="240" w:lineRule="auto"/>
        <w:jc w:val="both"/>
        <w:rPr>
          <w:rFonts w:eastAsia="SimSun" w:cs="Times New Roman"/>
          <w:kern w:val="1"/>
          <w:sz w:val="24"/>
          <w:szCs w:val="24"/>
          <w:lang w:eastAsia="hi-IN" w:bidi="hi-IN"/>
        </w:rPr>
      </w:pPr>
    </w:p>
    <w:p w:rsidR="001A4D79" w:rsidRPr="001A4D79" w:rsidRDefault="001A4D79" w:rsidP="000F09B5">
      <w:pPr>
        <w:widowControl w:val="0"/>
        <w:suppressAutoHyphens/>
        <w:spacing w:after="0" w:line="240" w:lineRule="auto"/>
        <w:jc w:val="both"/>
        <w:rPr>
          <w:rFonts w:eastAsia="Times New Roman" w:cs="Verdana"/>
          <w:b/>
          <w:sz w:val="24"/>
          <w:szCs w:val="24"/>
          <w:lang w:val="en-US"/>
        </w:rPr>
      </w:pPr>
      <w:r w:rsidRPr="001A4D79">
        <w:rPr>
          <w:rFonts w:eastAsia="Times New Roman" w:cs="Verdana"/>
          <w:b/>
          <w:sz w:val="24"/>
          <w:szCs w:val="24"/>
          <w:lang w:val="en-US"/>
        </w:rPr>
        <w:t>Article 14</w:t>
      </w:r>
      <w:r w:rsidR="000F09B5" w:rsidRPr="000F09B5">
        <w:rPr>
          <w:rFonts w:eastAsia="Times New Roman" w:cs="Verdana"/>
          <w:b/>
          <w:sz w:val="24"/>
          <w:szCs w:val="24"/>
          <w:lang w:val="en-US"/>
        </w:rPr>
        <w:t xml:space="preserve"> - Fair and Public Hearing</w:t>
      </w:r>
    </w:p>
    <w:p w:rsidR="001A4D79" w:rsidRPr="001A4D79" w:rsidRDefault="001A4D79" w:rsidP="00E00316">
      <w:pPr>
        <w:autoSpaceDE w:val="0"/>
        <w:autoSpaceDN w:val="0"/>
        <w:adjustRightInd w:val="0"/>
        <w:spacing w:after="0" w:line="240" w:lineRule="auto"/>
        <w:jc w:val="both"/>
        <w:rPr>
          <w:rFonts w:eastAsia="Times New Roman" w:cs="Times New Roman"/>
          <w:bCs/>
          <w:sz w:val="24"/>
          <w:szCs w:val="24"/>
          <w:lang w:val="en-GB" w:eastAsia="en-GB"/>
        </w:rPr>
      </w:pPr>
      <w:r w:rsidRPr="001A4D79">
        <w:rPr>
          <w:rFonts w:eastAsia="Times New Roman" w:cs="Times New Roman"/>
          <w:bCs/>
          <w:sz w:val="24"/>
          <w:szCs w:val="24"/>
          <w:lang w:val="en-GB" w:eastAsia="en-GB"/>
        </w:rPr>
        <w:t>The European Court of Human Rights, when dealing Article 6 of the Convention, which is expressed in similar terms to Article 14 of the ICCPR, has held that when a prisoner is subject to a decision affecting their right to receive visits, then Article 6’s ‘civil limb’ is engaged. IPRT is concerned that prisoners wishing to challenge such decisions do not have effective access to an independent and impartial tribunal. While taking a case by means of judicial review is an option for a prisoner, the lack of legal aid for such a claim means that access to the courts is not effective.</w:t>
      </w:r>
    </w:p>
    <w:p w:rsidR="001A4D79" w:rsidRPr="001A4D79" w:rsidRDefault="001A4D79" w:rsidP="00E00316">
      <w:pPr>
        <w:autoSpaceDE w:val="0"/>
        <w:autoSpaceDN w:val="0"/>
        <w:adjustRightInd w:val="0"/>
        <w:spacing w:after="0" w:line="240" w:lineRule="auto"/>
        <w:jc w:val="both"/>
        <w:rPr>
          <w:rFonts w:eastAsia="Times New Roman" w:cs="Times New Roman"/>
          <w:bCs/>
          <w:sz w:val="24"/>
          <w:szCs w:val="24"/>
          <w:lang w:val="en-GB" w:eastAsia="en-GB"/>
        </w:rPr>
      </w:pPr>
    </w:p>
    <w:p w:rsidR="001A4D79" w:rsidRPr="001A4D79" w:rsidRDefault="001A4D79" w:rsidP="00E00316">
      <w:pPr>
        <w:widowControl w:val="0"/>
        <w:suppressAutoHyphens/>
        <w:spacing w:after="0" w:line="240" w:lineRule="auto"/>
        <w:jc w:val="both"/>
        <w:rPr>
          <w:rFonts w:eastAsia="SimSun" w:cs="Mangal"/>
          <w:kern w:val="1"/>
          <w:sz w:val="24"/>
          <w:szCs w:val="24"/>
          <w:lang w:eastAsia="hi-IN" w:bidi="hi-IN"/>
        </w:rPr>
      </w:pPr>
      <w:r w:rsidRPr="001A4D79">
        <w:rPr>
          <w:rFonts w:eastAsia="Times New Roman" w:cs="Times New Roman"/>
          <w:bCs/>
          <w:sz w:val="24"/>
          <w:szCs w:val="24"/>
          <w:lang w:val="en-GB" w:eastAsia="en-GB"/>
        </w:rPr>
        <w:t xml:space="preserve">IPRT submits that the possibility of legal representation should be afforded to prisoners at the first stage of a disciplinary hearing, and that legal aid be provided to prisoners seeking to challenge disciplinary sanctions and decisions to restrict their contact with visitors. </w:t>
      </w:r>
    </w:p>
    <w:p w:rsidR="009B5E46" w:rsidRPr="00E00316" w:rsidRDefault="00F757E6" w:rsidP="00E00316">
      <w:pPr>
        <w:jc w:val="both"/>
        <w:rPr>
          <w:sz w:val="24"/>
          <w:szCs w:val="24"/>
        </w:rPr>
      </w:pPr>
    </w:p>
    <w:sectPr w:rsidR="009B5E46" w:rsidRPr="00E0031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7E6" w:rsidRDefault="00F757E6" w:rsidP="001A4D79">
      <w:pPr>
        <w:spacing w:after="0" w:line="240" w:lineRule="auto"/>
      </w:pPr>
      <w:r>
        <w:separator/>
      </w:r>
    </w:p>
  </w:endnote>
  <w:endnote w:type="continuationSeparator" w:id="0">
    <w:p w:rsidR="00F757E6" w:rsidRDefault="00F757E6" w:rsidP="001A4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7E6" w:rsidRDefault="00F757E6" w:rsidP="001A4D79">
      <w:pPr>
        <w:spacing w:after="0" w:line="240" w:lineRule="auto"/>
      </w:pPr>
      <w:r>
        <w:separator/>
      </w:r>
    </w:p>
  </w:footnote>
  <w:footnote w:type="continuationSeparator" w:id="0">
    <w:p w:rsidR="00F757E6" w:rsidRDefault="00F757E6" w:rsidP="001A4D79">
      <w:pPr>
        <w:spacing w:after="0" w:line="240" w:lineRule="auto"/>
      </w:pPr>
      <w:r>
        <w:continuationSeparator/>
      </w:r>
    </w:p>
  </w:footnote>
  <w:footnote w:id="1">
    <w:p w:rsidR="001A4D79" w:rsidRPr="000831C1" w:rsidRDefault="001A4D79" w:rsidP="001A4D79">
      <w:pPr>
        <w:pStyle w:val="FootnoteText"/>
        <w:rPr>
          <w:rFonts w:ascii="Calibri" w:hAnsi="Calibri"/>
          <w:sz w:val="18"/>
          <w:szCs w:val="18"/>
        </w:rPr>
      </w:pPr>
      <w:r w:rsidRPr="000831C1">
        <w:rPr>
          <w:rStyle w:val="FootnoteReference"/>
          <w:rFonts w:ascii="Calibri" w:hAnsi="Calibri"/>
          <w:sz w:val="18"/>
          <w:szCs w:val="18"/>
        </w:rPr>
        <w:footnoteRef/>
      </w:r>
      <w:r w:rsidRPr="000831C1">
        <w:rPr>
          <w:rFonts w:ascii="Calibri" w:hAnsi="Calibri"/>
          <w:sz w:val="18"/>
          <w:szCs w:val="18"/>
        </w:rPr>
        <w:t xml:space="preserve"> Ibid.</w:t>
      </w:r>
    </w:p>
  </w:footnote>
  <w:footnote w:id="2">
    <w:p w:rsidR="001A4D79" w:rsidRPr="00883489" w:rsidRDefault="001A4D79" w:rsidP="001A4D79">
      <w:pPr>
        <w:pStyle w:val="FootnoteText"/>
        <w:rPr>
          <w:rFonts w:ascii="Calibri" w:hAnsi="Calibri"/>
          <w:sz w:val="18"/>
          <w:szCs w:val="18"/>
        </w:rPr>
      </w:pPr>
      <w:r w:rsidRPr="00883489">
        <w:rPr>
          <w:rStyle w:val="FootnoteReference"/>
          <w:rFonts w:ascii="Calibri" w:hAnsi="Calibri"/>
          <w:sz w:val="18"/>
          <w:szCs w:val="18"/>
        </w:rPr>
        <w:footnoteRef/>
      </w:r>
      <w:r w:rsidRPr="00883489">
        <w:rPr>
          <w:rFonts w:ascii="Calibri" w:hAnsi="Calibri"/>
          <w:sz w:val="18"/>
          <w:szCs w:val="18"/>
        </w:rPr>
        <w:t xml:space="preserve"> Irish Prison Service Annual Report 2013</w:t>
      </w:r>
    </w:p>
  </w:footnote>
  <w:footnote w:id="3">
    <w:p w:rsidR="001A4D79" w:rsidRPr="00DA366D" w:rsidRDefault="001A4D79" w:rsidP="001A4D79">
      <w:pPr>
        <w:pStyle w:val="FootnoteText"/>
        <w:rPr>
          <w:rFonts w:ascii="Calibri" w:hAnsi="Calibri"/>
          <w:sz w:val="18"/>
          <w:szCs w:val="18"/>
        </w:rPr>
      </w:pPr>
      <w:r w:rsidRPr="00DA366D">
        <w:rPr>
          <w:rStyle w:val="FootnoteCharacters"/>
          <w:rFonts w:ascii="Calibri" w:hAnsi="Calibri"/>
          <w:sz w:val="18"/>
          <w:szCs w:val="18"/>
        </w:rPr>
        <w:footnoteRef/>
      </w:r>
      <w:r w:rsidRPr="00DA366D">
        <w:rPr>
          <w:rFonts w:ascii="Calibri" w:hAnsi="Calibri"/>
          <w:sz w:val="18"/>
          <w:szCs w:val="18"/>
        </w:rPr>
        <w:t xml:space="preserve"> General Cell Information Census of Prison Population, </w:t>
      </w:r>
      <w:hyperlink r:id="rId1" w:history="1">
        <w:r w:rsidRPr="00DA366D">
          <w:rPr>
            <w:rStyle w:val="Hyperlink"/>
            <w:rFonts w:ascii="Calibri" w:hAnsi="Calibri"/>
            <w:sz w:val="18"/>
            <w:szCs w:val="18"/>
          </w:rPr>
          <w:t>http://www.irishprisons.ie/images/monthlyinfonote/form1_jan_14.pdf</w:t>
        </w:r>
      </w:hyperlink>
      <w:r w:rsidRPr="00DA366D">
        <w:rPr>
          <w:rFonts w:ascii="Calibri" w:hAnsi="Calibri"/>
          <w:sz w:val="18"/>
          <w:szCs w:val="18"/>
        </w:rPr>
        <w:t xml:space="preserve"> </w:t>
      </w:r>
    </w:p>
  </w:footnote>
  <w:footnote w:id="4">
    <w:p w:rsidR="001A4D79" w:rsidRPr="00883489" w:rsidRDefault="001A4D79" w:rsidP="001A4D79">
      <w:pPr>
        <w:pStyle w:val="FootnoteText"/>
        <w:rPr>
          <w:rFonts w:ascii="Calibri" w:hAnsi="Calibri"/>
          <w:sz w:val="18"/>
          <w:szCs w:val="18"/>
        </w:rPr>
      </w:pPr>
      <w:r w:rsidRPr="00883489">
        <w:rPr>
          <w:rStyle w:val="FootnoteCharacters"/>
          <w:rFonts w:ascii="Calibri" w:hAnsi="Calibri"/>
          <w:sz w:val="18"/>
          <w:szCs w:val="18"/>
        </w:rPr>
        <w:footnoteRef/>
      </w:r>
      <w:r w:rsidRPr="00883489">
        <w:rPr>
          <w:rFonts w:ascii="Calibri" w:hAnsi="Calibri"/>
          <w:sz w:val="18"/>
          <w:szCs w:val="18"/>
        </w:rPr>
        <w:t xml:space="preserve"> Prisoner Population on Wednesday 12</w:t>
      </w:r>
      <w:r w:rsidRPr="00883489">
        <w:rPr>
          <w:rFonts w:ascii="Calibri" w:hAnsi="Calibri"/>
          <w:sz w:val="18"/>
          <w:szCs w:val="18"/>
          <w:vertAlign w:val="superscript"/>
        </w:rPr>
        <w:t>th</w:t>
      </w:r>
      <w:r w:rsidRPr="00883489">
        <w:rPr>
          <w:rFonts w:ascii="Calibri" w:hAnsi="Calibri"/>
          <w:sz w:val="18"/>
          <w:szCs w:val="18"/>
        </w:rPr>
        <w:t xml:space="preserve"> March 2014, </w:t>
      </w:r>
      <w:hyperlink r:id="rId2" w:history="1">
        <w:r w:rsidRPr="00883489">
          <w:rPr>
            <w:rStyle w:val="Hyperlink"/>
            <w:rFonts w:ascii="Calibri" w:hAnsi="Calibri"/>
            <w:sz w:val="18"/>
            <w:szCs w:val="18"/>
          </w:rPr>
          <w:t>http://www.irishprisons.ie/images/dailynumbers/12_mar_2014.pdf</w:t>
        </w:r>
      </w:hyperlink>
      <w:r w:rsidRPr="00883489">
        <w:rPr>
          <w:rFonts w:ascii="Calibri" w:hAnsi="Calibri"/>
          <w:sz w:val="18"/>
          <w:szCs w:val="18"/>
        </w:rPr>
        <w:t xml:space="preserve"> </w:t>
      </w:r>
    </w:p>
  </w:footnote>
  <w:footnote w:id="5">
    <w:p w:rsidR="001A4D79" w:rsidRPr="00883489" w:rsidRDefault="001A4D79" w:rsidP="001A4D79">
      <w:pPr>
        <w:pStyle w:val="FootnoteText"/>
        <w:rPr>
          <w:rFonts w:ascii="Calibri" w:hAnsi="Calibri"/>
          <w:sz w:val="18"/>
          <w:szCs w:val="18"/>
        </w:rPr>
      </w:pPr>
      <w:r w:rsidRPr="00883489">
        <w:rPr>
          <w:rStyle w:val="FootnoteCharacters"/>
          <w:rFonts w:ascii="Calibri" w:hAnsi="Calibri"/>
          <w:sz w:val="18"/>
          <w:szCs w:val="18"/>
        </w:rPr>
        <w:footnoteRef/>
      </w:r>
      <w:r w:rsidRPr="00883489">
        <w:rPr>
          <w:rFonts w:ascii="Calibri" w:hAnsi="Calibri"/>
          <w:sz w:val="18"/>
          <w:szCs w:val="18"/>
        </w:rPr>
        <w:t xml:space="preserve"> Report on an Inspection of Limerick Prison by the Inspector of Prisons Judge Michael Reilly, 25</w:t>
      </w:r>
      <w:r w:rsidRPr="00883489">
        <w:rPr>
          <w:rFonts w:ascii="Calibri" w:hAnsi="Calibri"/>
          <w:sz w:val="18"/>
          <w:szCs w:val="18"/>
          <w:vertAlign w:val="superscript"/>
        </w:rPr>
        <w:t>th</w:t>
      </w:r>
      <w:r w:rsidRPr="00883489">
        <w:rPr>
          <w:rFonts w:ascii="Calibri" w:hAnsi="Calibri"/>
          <w:sz w:val="18"/>
          <w:szCs w:val="18"/>
        </w:rPr>
        <w:t xml:space="preserve"> January 2011. </w:t>
      </w:r>
    </w:p>
  </w:footnote>
  <w:footnote w:id="6">
    <w:p w:rsidR="001A4D79" w:rsidRPr="00883489" w:rsidRDefault="001A4D79" w:rsidP="001A4D79">
      <w:pPr>
        <w:pStyle w:val="FootnoteText"/>
        <w:rPr>
          <w:rFonts w:ascii="Calibri" w:hAnsi="Calibri"/>
          <w:sz w:val="18"/>
          <w:szCs w:val="18"/>
        </w:rPr>
      </w:pPr>
      <w:r w:rsidRPr="00883489">
        <w:rPr>
          <w:rStyle w:val="FootnoteReference"/>
          <w:rFonts w:ascii="Calibri" w:hAnsi="Calibri"/>
          <w:sz w:val="18"/>
          <w:szCs w:val="18"/>
        </w:rPr>
        <w:footnoteRef/>
      </w:r>
      <w:r w:rsidRPr="00883489">
        <w:rPr>
          <w:rFonts w:ascii="Calibri" w:hAnsi="Calibri"/>
          <w:sz w:val="18"/>
          <w:szCs w:val="18"/>
        </w:rPr>
        <w:t xml:space="preserve"> Irish Prison Service Annual Report 2013</w:t>
      </w:r>
    </w:p>
  </w:footnote>
  <w:footnote w:id="7">
    <w:p w:rsidR="0066767D" w:rsidRPr="00244566" w:rsidRDefault="0066767D" w:rsidP="0066767D">
      <w:pPr>
        <w:pStyle w:val="FootnoteText"/>
        <w:rPr>
          <w:rFonts w:ascii="Calibri" w:hAnsi="Calibri"/>
          <w:kern w:val="20"/>
          <w:sz w:val="18"/>
        </w:rPr>
      </w:pPr>
      <w:r w:rsidRPr="00244566">
        <w:rPr>
          <w:rStyle w:val="FootnoteCharacters"/>
          <w:rFonts w:ascii="Calibri" w:hAnsi="Calibri"/>
          <w:kern w:val="20"/>
          <w:sz w:val="18"/>
        </w:rPr>
        <w:footnoteRef/>
      </w:r>
      <w:r>
        <w:rPr>
          <w:rFonts w:ascii="Calibri" w:hAnsi="Calibri"/>
          <w:kern w:val="20"/>
          <w:sz w:val="18"/>
        </w:rPr>
        <w:t xml:space="preserve"> </w:t>
      </w:r>
      <w:r w:rsidRPr="00244566">
        <w:rPr>
          <w:rFonts w:ascii="Calibri" w:hAnsi="Calibri"/>
          <w:kern w:val="20"/>
          <w:sz w:val="18"/>
        </w:rPr>
        <w:t xml:space="preserve">General Cell Information Census of Prison Population, </w:t>
      </w:r>
      <w:hyperlink r:id="rId3" w:history="1">
        <w:r w:rsidRPr="008746DC">
          <w:rPr>
            <w:rStyle w:val="Hyperlink"/>
            <w:rFonts w:ascii="Calibri" w:hAnsi="Calibri"/>
            <w:kern w:val="20"/>
            <w:sz w:val="18"/>
          </w:rPr>
          <w:t>http://www.irishprisons.ie/images/monthlyinfonote/form1_jan_14.pdf</w:t>
        </w:r>
      </w:hyperlink>
      <w:r>
        <w:rPr>
          <w:rFonts w:ascii="Calibri" w:hAnsi="Calibri"/>
          <w:kern w:val="20"/>
          <w:sz w:val="18"/>
        </w:rPr>
        <w:t xml:space="preserve"> </w:t>
      </w:r>
    </w:p>
  </w:footnote>
  <w:footnote w:id="8">
    <w:p w:rsidR="0066767D" w:rsidRPr="00244566" w:rsidRDefault="0066767D" w:rsidP="0066767D">
      <w:pPr>
        <w:pStyle w:val="FootnoteText"/>
        <w:rPr>
          <w:rFonts w:ascii="Calibri" w:hAnsi="Calibri"/>
          <w:kern w:val="20"/>
          <w:sz w:val="18"/>
        </w:rPr>
      </w:pPr>
      <w:r w:rsidRPr="00244566">
        <w:rPr>
          <w:rStyle w:val="FootnoteCharacters"/>
          <w:rFonts w:ascii="Calibri" w:hAnsi="Calibri"/>
          <w:kern w:val="20"/>
          <w:sz w:val="18"/>
        </w:rPr>
        <w:footnoteRef/>
      </w:r>
      <w:r>
        <w:rPr>
          <w:rFonts w:ascii="Calibri" w:hAnsi="Calibri"/>
          <w:kern w:val="20"/>
          <w:sz w:val="18"/>
        </w:rPr>
        <w:t xml:space="preserve"> </w:t>
      </w:r>
      <w:r w:rsidRPr="00244566">
        <w:rPr>
          <w:rFonts w:ascii="Calibri" w:hAnsi="Calibri"/>
          <w:kern w:val="20"/>
          <w:sz w:val="18"/>
        </w:rPr>
        <w:t>Ibid.</w:t>
      </w:r>
    </w:p>
  </w:footnote>
  <w:footnote w:id="9">
    <w:p w:rsidR="0066767D" w:rsidRPr="001512A0" w:rsidRDefault="0066767D" w:rsidP="0066767D">
      <w:pPr>
        <w:pStyle w:val="FootnoteText"/>
      </w:pPr>
      <w:r w:rsidRPr="00244566">
        <w:rPr>
          <w:rStyle w:val="FootnoteReference"/>
          <w:rFonts w:ascii="Calibri" w:hAnsi="Calibri"/>
          <w:kern w:val="20"/>
          <w:sz w:val="18"/>
        </w:rPr>
        <w:footnoteRef/>
      </w:r>
      <w:r w:rsidRPr="00244566">
        <w:rPr>
          <w:rFonts w:ascii="Calibri" w:hAnsi="Calibri"/>
          <w:kern w:val="20"/>
          <w:sz w:val="18"/>
        </w:rPr>
        <w:t xml:space="preserve"> Report to the Government of Ireland on the visit to Ireland carried out by the European Committee for the Prevention of Torture and Inhuman or Degrading Treatment or Punishment, </w:t>
      </w:r>
      <w:hyperlink r:id="rId4" w:history="1">
        <w:r w:rsidRPr="008746DC">
          <w:rPr>
            <w:rStyle w:val="Hyperlink"/>
            <w:rFonts w:ascii="Calibri" w:hAnsi="Calibri"/>
            <w:kern w:val="20"/>
            <w:sz w:val="18"/>
          </w:rPr>
          <w:t>http://www.cpt.coe.int/documents/irl/2011-03-inf-eng.pdf</w:t>
        </w:r>
      </w:hyperlink>
      <w:r>
        <w:rPr>
          <w:rFonts w:ascii="Calibri" w:hAnsi="Calibri"/>
          <w:kern w:val="20"/>
          <w:sz w:val="18"/>
        </w:rPr>
        <w:t xml:space="preserve"> </w:t>
      </w:r>
    </w:p>
  </w:footnote>
  <w:footnote w:id="10">
    <w:p w:rsidR="00420504" w:rsidRPr="00883489" w:rsidRDefault="00420504" w:rsidP="00420504">
      <w:pPr>
        <w:pStyle w:val="FootnoteText"/>
        <w:rPr>
          <w:rFonts w:ascii="Calibri" w:hAnsi="Calibri"/>
          <w:sz w:val="18"/>
          <w:szCs w:val="18"/>
        </w:rPr>
      </w:pPr>
      <w:r w:rsidRPr="00883489">
        <w:rPr>
          <w:rStyle w:val="FootnoteReference"/>
          <w:rFonts w:ascii="Calibri" w:hAnsi="Calibri"/>
          <w:sz w:val="18"/>
          <w:szCs w:val="18"/>
        </w:rPr>
        <w:footnoteRef/>
      </w:r>
      <w:r w:rsidRPr="00883489">
        <w:rPr>
          <w:rFonts w:ascii="Calibri" w:hAnsi="Calibri"/>
          <w:sz w:val="18"/>
          <w:szCs w:val="18"/>
        </w:rPr>
        <w:t xml:space="preserve"> See for example the Inspector of Prisons’ Report on an Inspection of Limerick Prison, 25 November 2011.</w:t>
      </w:r>
    </w:p>
  </w:footnote>
  <w:footnote w:id="11">
    <w:p w:rsidR="00B0382B" w:rsidRDefault="00B0382B">
      <w:pPr>
        <w:pStyle w:val="FootnoteText"/>
      </w:pPr>
      <w:r>
        <w:rPr>
          <w:rStyle w:val="FootnoteReference"/>
        </w:rPr>
        <w:footnoteRef/>
      </w:r>
      <w:r>
        <w:t xml:space="preserve"> </w:t>
      </w:r>
      <w:hyperlink r:id="rId5" w:history="1">
        <w:r w:rsidRPr="00AC3469">
          <w:rPr>
            <w:rStyle w:val="Hyperlink"/>
          </w:rPr>
          <w:t>http://www.leinsterexpress.ie/news/local-news/end-of-slopping-out-is-capital-dependent-1-5935263</w:t>
        </w:r>
      </w:hyperlink>
      <w:r>
        <w:t xml:space="preserve"> </w:t>
      </w:r>
    </w:p>
  </w:footnote>
  <w:footnote w:id="12">
    <w:p w:rsidR="00F01087" w:rsidRPr="00885AF3" w:rsidRDefault="00F01087" w:rsidP="00F01087">
      <w:pPr>
        <w:pStyle w:val="FootnoteText"/>
      </w:pPr>
      <w:r w:rsidRPr="00883489">
        <w:rPr>
          <w:rStyle w:val="FootnoteReference"/>
          <w:rFonts w:ascii="Calibri" w:hAnsi="Calibri"/>
          <w:sz w:val="18"/>
          <w:szCs w:val="18"/>
        </w:rPr>
        <w:footnoteRef/>
      </w:r>
      <w:r w:rsidRPr="00883489">
        <w:rPr>
          <w:rFonts w:ascii="Calibri" w:hAnsi="Calibri"/>
          <w:sz w:val="18"/>
          <w:szCs w:val="18"/>
        </w:rPr>
        <w:t xml:space="preserve"> Ombudsman for Children’s Office, A Meta-Analysis of Repeat Root Cause Issues Regarding the Provision of Services for Children in Care, </w:t>
      </w:r>
      <w:hyperlink r:id="rId6" w:history="1">
        <w:r w:rsidRPr="00883489">
          <w:rPr>
            <w:rStyle w:val="Hyperlink"/>
            <w:rFonts w:ascii="Calibri" w:hAnsi="Calibri"/>
            <w:sz w:val="18"/>
            <w:szCs w:val="18"/>
          </w:rPr>
          <w:t>http://www.oco.ie/assets/files/publications/complaints_and_investigations/OCOmetaanalysisofservicesforchildrenincare</w:t>
        </w:r>
        <w:r w:rsidRPr="008746DC">
          <w:rPr>
            <w:rStyle w:val="Hyperlink"/>
          </w:rPr>
          <w:t>.pdf</w:t>
        </w:r>
      </w:hyperlink>
      <w:r>
        <w:t xml:space="preserve"> </w:t>
      </w:r>
    </w:p>
  </w:footnote>
  <w:footnote w:id="13">
    <w:p w:rsidR="00C07D2D" w:rsidRPr="00883489" w:rsidRDefault="00C07D2D" w:rsidP="00C07D2D">
      <w:pPr>
        <w:pStyle w:val="FootnoteText"/>
        <w:rPr>
          <w:rFonts w:ascii="Calibri" w:hAnsi="Calibri"/>
          <w:sz w:val="18"/>
          <w:szCs w:val="18"/>
        </w:rPr>
      </w:pPr>
      <w:r w:rsidRPr="00883489">
        <w:rPr>
          <w:rStyle w:val="FootnoteCharacters"/>
          <w:rFonts w:ascii="Calibri" w:hAnsi="Calibri"/>
          <w:sz w:val="18"/>
          <w:szCs w:val="18"/>
        </w:rPr>
        <w:footnoteRef/>
      </w:r>
      <w:r w:rsidRPr="00883489">
        <w:rPr>
          <w:rFonts w:ascii="Calibri" w:hAnsi="Calibri"/>
          <w:sz w:val="18"/>
          <w:szCs w:val="18"/>
        </w:rPr>
        <w:t xml:space="preserve"> Irish Prison Service Annual Report 2013</w:t>
      </w:r>
    </w:p>
  </w:footnote>
  <w:footnote w:id="14">
    <w:p w:rsidR="00C07D2D" w:rsidRPr="00883489" w:rsidRDefault="00C07D2D" w:rsidP="00C07D2D">
      <w:pPr>
        <w:pStyle w:val="FootnoteText"/>
        <w:rPr>
          <w:rFonts w:ascii="Calibri" w:hAnsi="Calibri"/>
          <w:sz w:val="18"/>
          <w:szCs w:val="18"/>
        </w:rPr>
      </w:pPr>
      <w:r w:rsidRPr="00883489">
        <w:rPr>
          <w:rStyle w:val="FootnoteReference"/>
          <w:rFonts w:ascii="Calibri" w:hAnsi="Calibri"/>
          <w:sz w:val="18"/>
          <w:szCs w:val="18"/>
        </w:rPr>
        <w:footnoteRef/>
      </w:r>
      <w:r w:rsidRPr="00883489">
        <w:rPr>
          <w:rFonts w:ascii="Calibri" w:hAnsi="Calibri"/>
          <w:sz w:val="18"/>
          <w:szCs w:val="18"/>
        </w:rPr>
        <w:t xml:space="preserve"> Ibid</w:t>
      </w:r>
    </w:p>
  </w:footnote>
  <w:footnote w:id="15">
    <w:p w:rsidR="00C07D2D" w:rsidRPr="00883489" w:rsidRDefault="00C07D2D" w:rsidP="00C07D2D">
      <w:pPr>
        <w:pStyle w:val="FootnoteText"/>
        <w:rPr>
          <w:rFonts w:ascii="Calibri" w:hAnsi="Calibri"/>
          <w:sz w:val="18"/>
          <w:szCs w:val="18"/>
        </w:rPr>
      </w:pPr>
      <w:r w:rsidRPr="00883489">
        <w:rPr>
          <w:rStyle w:val="FootnoteCharacters"/>
          <w:rFonts w:ascii="Calibri" w:hAnsi="Calibri"/>
          <w:sz w:val="18"/>
          <w:szCs w:val="18"/>
        </w:rPr>
        <w:footnoteRef/>
      </w:r>
      <w:r w:rsidRPr="00883489">
        <w:rPr>
          <w:rFonts w:ascii="Calibri" w:hAnsi="Calibri"/>
          <w:sz w:val="18"/>
          <w:szCs w:val="18"/>
        </w:rPr>
        <w:t xml:space="preserve"> </w:t>
      </w:r>
      <w:r w:rsidRPr="00251718">
        <w:rPr>
          <w:rFonts w:ascii="Calibri" w:hAnsi="Calibri"/>
          <w:sz w:val="18"/>
          <w:szCs w:val="18"/>
        </w:rPr>
        <w:t>Ibid</w:t>
      </w:r>
    </w:p>
  </w:footnote>
  <w:footnote w:id="16">
    <w:p w:rsidR="001A4D79" w:rsidRPr="00883489" w:rsidRDefault="001A4D79" w:rsidP="001A4D79">
      <w:pPr>
        <w:pStyle w:val="FootnoteText"/>
        <w:rPr>
          <w:rFonts w:ascii="Calibri" w:hAnsi="Calibri"/>
          <w:sz w:val="18"/>
          <w:szCs w:val="18"/>
        </w:rPr>
      </w:pPr>
      <w:r w:rsidRPr="00883489">
        <w:rPr>
          <w:rStyle w:val="FootnoteCharacters"/>
          <w:rFonts w:ascii="Calibri" w:hAnsi="Calibri"/>
          <w:sz w:val="18"/>
          <w:szCs w:val="18"/>
        </w:rPr>
        <w:footnoteRef/>
      </w:r>
      <w:r w:rsidRPr="00883489">
        <w:rPr>
          <w:rFonts w:ascii="Calibri" w:hAnsi="Calibri"/>
          <w:sz w:val="18"/>
          <w:szCs w:val="18"/>
        </w:rPr>
        <w:t xml:space="preserve"> Census of Restricted Regime Prisoners January 2014, </w:t>
      </w:r>
      <w:hyperlink r:id="rId7" w:history="1">
        <w:r w:rsidRPr="00883489">
          <w:rPr>
            <w:rStyle w:val="Hyperlink"/>
            <w:rFonts w:ascii="Calibri" w:hAnsi="Calibri"/>
            <w:sz w:val="18"/>
            <w:szCs w:val="18"/>
          </w:rPr>
          <w:t>http://www.irishprisons.ie/images/monthlyinfonote/form2_jan_14.pdf</w:t>
        </w:r>
      </w:hyperlink>
      <w:r w:rsidRPr="00883489">
        <w:rPr>
          <w:rFonts w:ascii="Calibri" w:hAnsi="Calibri"/>
          <w:sz w:val="18"/>
          <w:szCs w:val="18"/>
        </w:rPr>
        <w:t xml:space="preserve"> </w:t>
      </w:r>
    </w:p>
  </w:footnote>
  <w:footnote w:id="17">
    <w:p w:rsidR="001A4D79" w:rsidRPr="00883489" w:rsidRDefault="001A4D79" w:rsidP="001A4D79">
      <w:pPr>
        <w:pStyle w:val="FootnoteText"/>
        <w:rPr>
          <w:rFonts w:ascii="Calibri" w:hAnsi="Calibri"/>
          <w:sz w:val="18"/>
          <w:szCs w:val="18"/>
        </w:rPr>
      </w:pPr>
      <w:r w:rsidRPr="00883489">
        <w:rPr>
          <w:rStyle w:val="FootnoteCharacters"/>
          <w:rFonts w:ascii="Calibri" w:hAnsi="Calibri"/>
          <w:sz w:val="18"/>
          <w:szCs w:val="18"/>
        </w:rPr>
        <w:footnoteRef/>
      </w:r>
      <w:hyperlink w:history="1"/>
      <w:r w:rsidRPr="00883489">
        <w:rPr>
          <w:rFonts w:ascii="Calibri" w:hAnsi="Calibri"/>
          <w:sz w:val="18"/>
          <w:szCs w:val="18"/>
        </w:rPr>
        <w:t xml:space="preserve"> Ibid.</w:t>
      </w:r>
    </w:p>
  </w:footnote>
  <w:footnote w:id="18">
    <w:p w:rsidR="001A4D79" w:rsidRPr="00883489" w:rsidRDefault="001A4D79" w:rsidP="001A4D79">
      <w:pPr>
        <w:pStyle w:val="FootnoteText"/>
        <w:rPr>
          <w:rFonts w:ascii="Calibri" w:hAnsi="Calibri"/>
          <w:sz w:val="18"/>
          <w:szCs w:val="18"/>
        </w:rPr>
      </w:pPr>
      <w:r w:rsidRPr="00883489">
        <w:rPr>
          <w:rStyle w:val="FootnoteReference"/>
          <w:rFonts w:ascii="Calibri" w:hAnsi="Calibri"/>
          <w:sz w:val="18"/>
          <w:szCs w:val="18"/>
        </w:rPr>
        <w:footnoteRef/>
      </w:r>
      <w:r w:rsidRPr="00883489">
        <w:rPr>
          <w:rFonts w:ascii="Calibri" w:hAnsi="Calibri"/>
          <w:sz w:val="18"/>
          <w:szCs w:val="18"/>
        </w:rPr>
        <w:t xml:space="preserve"> Special Rapporteur on Torture Tells Third Committee Use of Prolonged Solitary - Confinement on Rise, Calls for Global Ban on Practice (2011), </w:t>
      </w:r>
      <w:hyperlink r:id="rId8" w:history="1">
        <w:r w:rsidRPr="00883489">
          <w:rPr>
            <w:rStyle w:val="Hyperlink"/>
            <w:rFonts w:ascii="Calibri" w:hAnsi="Calibri"/>
            <w:sz w:val="18"/>
            <w:szCs w:val="18"/>
          </w:rPr>
          <w:t>http://www.un.org/News/Press/docs/2011/gashc4014.doc.htm</w:t>
        </w:r>
      </w:hyperlink>
      <w:r w:rsidRPr="00883489">
        <w:rPr>
          <w:rFonts w:ascii="Calibri" w:hAnsi="Calibri"/>
          <w:sz w:val="18"/>
          <w:szCs w:val="18"/>
        </w:rPr>
        <w:t xml:space="preserve"> </w:t>
      </w:r>
    </w:p>
  </w:footnote>
  <w:footnote w:id="19">
    <w:p w:rsidR="001A4D79" w:rsidRPr="00883489" w:rsidRDefault="001A4D79" w:rsidP="001A4D79">
      <w:pPr>
        <w:pStyle w:val="FootnoteText"/>
        <w:rPr>
          <w:rFonts w:ascii="Calibri" w:hAnsi="Calibri"/>
          <w:sz w:val="18"/>
          <w:szCs w:val="18"/>
        </w:rPr>
      </w:pPr>
      <w:r w:rsidRPr="00883489">
        <w:rPr>
          <w:rStyle w:val="FootnoteReference"/>
          <w:rFonts w:ascii="Calibri" w:hAnsi="Calibri"/>
          <w:sz w:val="18"/>
          <w:szCs w:val="18"/>
        </w:rPr>
        <w:footnoteRef/>
      </w:r>
      <w:r w:rsidRPr="00883489">
        <w:rPr>
          <w:rFonts w:ascii="Calibri" w:hAnsi="Calibri"/>
          <w:sz w:val="18"/>
          <w:szCs w:val="18"/>
        </w:rPr>
        <w:t xml:space="preserve"> An Assessment of the Irish Prison System May 2013, Inspector of Prisons.</w:t>
      </w:r>
    </w:p>
  </w:footnote>
  <w:footnote w:id="20">
    <w:p w:rsidR="001A4D79" w:rsidRDefault="001A4D79" w:rsidP="001A4D79">
      <w:pPr>
        <w:pStyle w:val="FootnoteText"/>
      </w:pPr>
      <w:r w:rsidRPr="00883489">
        <w:rPr>
          <w:rStyle w:val="FootnoteReference"/>
          <w:rFonts w:ascii="Calibri" w:hAnsi="Calibri"/>
          <w:sz w:val="18"/>
          <w:szCs w:val="18"/>
        </w:rPr>
        <w:footnoteRef/>
      </w:r>
      <w:r w:rsidRPr="00883489">
        <w:rPr>
          <w:rFonts w:ascii="Calibri" w:hAnsi="Calibri"/>
          <w:sz w:val="18"/>
          <w:szCs w:val="18"/>
        </w:rPr>
        <w:t xml:space="preserve"> Office of the Inspector of Prisons Annual Report 2012</w:t>
      </w:r>
    </w:p>
  </w:footnote>
  <w:footnote w:id="21">
    <w:p w:rsidR="00C07D2D" w:rsidRPr="00883489" w:rsidRDefault="00C07D2D" w:rsidP="00C07D2D">
      <w:pPr>
        <w:pStyle w:val="FootnoteText"/>
        <w:rPr>
          <w:rFonts w:ascii="Calibri" w:hAnsi="Calibri"/>
          <w:sz w:val="18"/>
          <w:szCs w:val="18"/>
        </w:rPr>
      </w:pPr>
      <w:r w:rsidRPr="00883489">
        <w:rPr>
          <w:rStyle w:val="FootnoteCharacters"/>
          <w:rFonts w:ascii="Calibri" w:hAnsi="Calibri"/>
          <w:sz w:val="18"/>
          <w:szCs w:val="18"/>
        </w:rPr>
        <w:footnoteRef/>
      </w:r>
      <w:r w:rsidRPr="00883489">
        <w:rPr>
          <w:rFonts w:ascii="Calibri" w:hAnsi="Calibri"/>
          <w:sz w:val="18"/>
          <w:szCs w:val="18"/>
        </w:rPr>
        <w:t xml:space="preserve"> IPRT Position Paper 4 – Human Rights in Prison, </w:t>
      </w:r>
      <w:hyperlink r:id="rId9" w:history="1">
        <w:r w:rsidRPr="00883489">
          <w:rPr>
            <w:rStyle w:val="Hyperlink"/>
            <w:rFonts w:ascii="Calibri" w:hAnsi="Calibri"/>
            <w:sz w:val="18"/>
            <w:szCs w:val="18"/>
          </w:rPr>
          <w:t>http://www.iprt.ie/files/IPRT_Position_Paper_4_-_Human_Rights_in_Prison.pdf</w:t>
        </w:r>
      </w:hyperlink>
      <w:r w:rsidRPr="00883489">
        <w:rPr>
          <w:rFonts w:ascii="Calibri" w:hAnsi="Calibri"/>
          <w:sz w:val="18"/>
          <w:szCs w:val="18"/>
        </w:rPr>
        <w:t xml:space="preserve"> </w:t>
      </w:r>
    </w:p>
  </w:footnote>
  <w:footnote w:id="22">
    <w:p w:rsidR="00C07D2D" w:rsidRPr="00883489" w:rsidRDefault="00C07D2D" w:rsidP="00C07D2D">
      <w:pPr>
        <w:pStyle w:val="FootnoteText"/>
        <w:rPr>
          <w:rFonts w:ascii="Calibri" w:hAnsi="Calibri"/>
          <w:sz w:val="18"/>
          <w:szCs w:val="18"/>
        </w:rPr>
      </w:pPr>
      <w:r w:rsidRPr="00883489">
        <w:rPr>
          <w:rStyle w:val="FootnoteReference"/>
          <w:rFonts w:ascii="Calibri" w:hAnsi="Calibri"/>
          <w:sz w:val="18"/>
          <w:szCs w:val="18"/>
        </w:rPr>
        <w:footnoteRef/>
      </w:r>
      <w:r w:rsidRPr="00883489">
        <w:rPr>
          <w:rFonts w:ascii="Calibri" w:hAnsi="Calibri"/>
          <w:sz w:val="18"/>
          <w:szCs w:val="18"/>
        </w:rPr>
        <w:t xml:space="preserve"> Office of the Inspector of Prisons Annual Report 2012</w:t>
      </w:r>
    </w:p>
  </w:footnote>
  <w:footnote w:id="23">
    <w:p w:rsidR="00C07D2D" w:rsidRPr="00883489" w:rsidRDefault="00C07D2D" w:rsidP="00C07D2D">
      <w:pPr>
        <w:pStyle w:val="FootnoteText"/>
        <w:rPr>
          <w:rFonts w:ascii="Calibri" w:hAnsi="Calibri"/>
          <w:sz w:val="18"/>
          <w:szCs w:val="18"/>
        </w:rPr>
      </w:pPr>
      <w:r w:rsidRPr="00883489">
        <w:rPr>
          <w:rStyle w:val="FootnoteReference"/>
          <w:rFonts w:ascii="Calibri" w:hAnsi="Calibri"/>
          <w:sz w:val="18"/>
          <w:szCs w:val="18"/>
        </w:rPr>
        <w:footnoteRef/>
      </w:r>
      <w:r w:rsidRPr="00883489">
        <w:rPr>
          <w:rFonts w:ascii="Calibri" w:hAnsi="Calibri"/>
          <w:sz w:val="18"/>
          <w:szCs w:val="18"/>
        </w:rPr>
        <w:t xml:space="preserve"> Ibid.</w:t>
      </w:r>
    </w:p>
  </w:footnote>
  <w:footnote w:id="24">
    <w:p w:rsidR="00C07D2D" w:rsidRPr="00883489" w:rsidRDefault="00C07D2D" w:rsidP="00C07D2D">
      <w:pPr>
        <w:pStyle w:val="FootnoteText"/>
        <w:rPr>
          <w:rFonts w:ascii="Calibri" w:hAnsi="Calibri"/>
          <w:sz w:val="18"/>
          <w:szCs w:val="18"/>
        </w:rPr>
      </w:pPr>
      <w:r w:rsidRPr="00883489">
        <w:rPr>
          <w:rStyle w:val="FootnoteReference"/>
          <w:rFonts w:ascii="Calibri" w:hAnsi="Calibri"/>
          <w:sz w:val="18"/>
          <w:szCs w:val="18"/>
        </w:rPr>
        <w:footnoteRef/>
      </w:r>
      <w:r w:rsidRPr="00883489">
        <w:rPr>
          <w:rFonts w:ascii="Calibri" w:hAnsi="Calibri"/>
          <w:sz w:val="18"/>
          <w:szCs w:val="18"/>
        </w:rPr>
        <w:t xml:space="preserve"> Children’s Rights Alliance Report Card 2014, Is Government keeping its promises to children?, </w:t>
      </w:r>
      <w:hyperlink r:id="rId10" w:history="1">
        <w:r w:rsidRPr="00883489">
          <w:rPr>
            <w:rStyle w:val="Hyperlink"/>
            <w:rFonts w:ascii="Calibri" w:hAnsi="Calibri"/>
            <w:sz w:val="18"/>
            <w:szCs w:val="18"/>
          </w:rPr>
          <w:t>http://childrensrights.ie/sites/default/files/submissions_reports/files/REPORTCARD2014_0.pdf</w:t>
        </w:r>
      </w:hyperlink>
      <w:r w:rsidRPr="00883489">
        <w:rPr>
          <w:rFonts w:ascii="Calibri" w:hAnsi="Calibri"/>
          <w:sz w:val="18"/>
          <w:szCs w:val="18"/>
        </w:rPr>
        <w:t xml:space="preserve"> </w:t>
      </w:r>
    </w:p>
  </w:footnote>
  <w:footnote w:id="25">
    <w:p w:rsidR="001A4D79" w:rsidRPr="00883489" w:rsidRDefault="001A4D79" w:rsidP="001A4D79">
      <w:pPr>
        <w:pStyle w:val="FootnoteText"/>
        <w:rPr>
          <w:rFonts w:ascii="Calibri" w:hAnsi="Calibri"/>
          <w:sz w:val="18"/>
          <w:szCs w:val="18"/>
        </w:rPr>
      </w:pPr>
      <w:r>
        <w:rPr>
          <w:rStyle w:val="FootnoteReference"/>
        </w:rPr>
        <w:footnoteRef/>
      </w:r>
      <w:r>
        <w:t xml:space="preserve"> </w:t>
      </w:r>
      <w:r w:rsidRPr="00883489">
        <w:rPr>
          <w:rFonts w:ascii="Calibri" w:hAnsi="Calibri"/>
          <w:sz w:val="18"/>
          <w:szCs w:val="18"/>
        </w:rPr>
        <w:t xml:space="preserve">Irish Prison Service </w:t>
      </w:r>
      <w:r w:rsidRPr="00883489">
        <w:rPr>
          <w:rFonts w:ascii="Calibri" w:hAnsi="Calibri"/>
          <w:i/>
          <w:sz w:val="18"/>
          <w:szCs w:val="18"/>
        </w:rPr>
        <w:t>Three Year Strategic Plan 2012-2015</w:t>
      </w:r>
      <w:r w:rsidRPr="00883489">
        <w:rPr>
          <w:rFonts w:ascii="Calibri" w:hAnsi="Calibri"/>
          <w:sz w:val="18"/>
          <w:szCs w:val="18"/>
        </w:rPr>
        <w:t xml:space="preserve">, </w:t>
      </w:r>
      <w:hyperlink r:id="rId11" w:history="1">
        <w:r w:rsidRPr="00883489">
          <w:rPr>
            <w:rStyle w:val="Hyperlink"/>
            <w:rFonts w:ascii="Calibri" w:hAnsi="Calibri"/>
            <w:sz w:val="18"/>
            <w:szCs w:val="18"/>
          </w:rPr>
          <w:t>http://www.irishprisons.ie/images/pdf/strategicplanfinal.pdf</w:t>
        </w:r>
      </w:hyperlink>
      <w:r w:rsidRPr="00883489">
        <w:rPr>
          <w:rFonts w:ascii="Calibri" w:hAnsi="Calibri"/>
          <w:sz w:val="18"/>
          <w:szCs w:val="18"/>
        </w:rPr>
        <w:t xml:space="preserve">  </w:t>
      </w:r>
    </w:p>
  </w:footnote>
  <w:footnote w:id="26">
    <w:p w:rsidR="001A4D79" w:rsidRPr="00883489" w:rsidRDefault="001A4D79" w:rsidP="001A4D79">
      <w:pPr>
        <w:pStyle w:val="FootnoteText"/>
        <w:rPr>
          <w:rFonts w:ascii="Calibri" w:hAnsi="Calibri"/>
          <w:sz w:val="18"/>
          <w:szCs w:val="18"/>
        </w:rPr>
      </w:pPr>
      <w:r w:rsidRPr="00883489">
        <w:rPr>
          <w:rStyle w:val="FootnoteReference"/>
          <w:rFonts w:ascii="Calibri" w:hAnsi="Calibri"/>
          <w:sz w:val="18"/>
          <w:szCs w:val="18"/>
        </w:rPr>
        <w:footnoteRef/>
      </w:r>
      <w:r w:rsidRPr="00883489">
        <w:rPr>
          <w:rFonts w:ascii="Calibri" w:hAnsi="Calibri"/>
          <w:sz w:val="18"/>
          <w:szCs w:val="18"/>
        </w:rPr>
        <w:t xml:space="preserve"> IPRT Submission on Criminal Justice (Spent Convictions) Bill 2012, </w:t>
      </w:r>
      <w:hyperlink r:id="rId12" w:history="1">
        <w:r w:rsidRPr="00883489">
          <w:rPr>
            <w:rStyle w:val="Hyperlink"/>
            <w:rFonts w:ascii="Calibri" w:hAnsi="Calibri"/>
            <w:sz w:val="18"/>
            <w:szCs w:val="18"/>
          </w:rPr>
          <w:t>http://www.iprt.ie/files/IPRT_Spent_Convictions_29012013.pdf</w:t>
        </w:r>
      </w:hyperlink>
      <w:r w:rsidRPr="00883489">
        <w:rPr>
          <w:rFonts w:ascii="Calibri" w:hAnsi="Calibri"/>
          <w:sz w:val="18"/>
          <w:szCs w:val="18"/>
        </w:rPr>
        <w:t xml:space="preserve"> </w:t>
      </w:r>
    </w:p>
  </w:footnote>
  <w:footnote w:id="27">
    <w:p w:rsidR="001A4D79" w:rsidRDefault="001A4D79" w:rsidP="001A4D79">
      <w:pPr>
        <w:pStyle w:val="FootnoteText"/>
      </w:pPr>
      <w:r w:rsidRPr="00883489">
        <w:rPr>
          <w:rStyle w:val="FootnoteReference"/>
          <w:rFonts w:ascii="Calibri" w:hAnsi="Calibri"/>
          <w:sz w:val="18"/>
          <w:szCs w:val="18"/>
        </w:rPr>
        <w:footnoteRef/>
      </w:r>
      <w:r w:rsidRPr="00883489">
        <w:rPr>
          <w:rFonts w:ascii="Calibri" w:hAnsi="Calibri"/>
          <w:sz w:val="18"/>
          <w:szCs w:val="18"/>
        </w:rPr>
        <w:t xml:space="preserve"> Ibid</w:t>
      </w:r>
    </w:p>
  </w:footnote>
  <w:footnote w:id="28">
    <w:p w:rsidR="001A4D79" w:rsidRPr="00883489" w:rsidRDefault="001A4D79" w:rsidP="001A4D79">
      <w:pPr>
        <w:pStyle w:val="FootnoteText"/>
        <w:rPr>
          <w:rFonts w:ascii="Calibri" w:hAnsi="Calibri"/>
          <w:sz w:val="18"/>
          <w:szCs w:val="18"/>
        </w:rPr>
      </w:pPr>
      <w:r w:rsidRPr="00883489">
        <w:rPr>
          <w:rStyle w:val="FootnoteCharacters"/>
          <w:rFonts w:ascii="Calibri" w:hAnsi="Calibri"/>
          <w:sz w:val="18"/>
          <w:szCs w:val="18"/>
        </w:rPr>
        <w:footnoteRef/>
      </w:r>
      <w:r w:rsidRPr="00883489">
        <w:rPr>
          <w:rFonts w:ascii="Calibri" w:hAnsi="Calibri"/>
          <w:sz w:val="18"/>
          <w:szCs w:val="18"/>
        </w:rPr>
        <w:t xml:space="preserve"> IPRT Position Paper 4 – Human Rights in Prison, </w:t>
      </w:r>
      <w:hyperlink r:id="rId13" w:history="1">
        <w:r w:rsidRPr="00883489">
          <w:rPr>
            <w:rStyle w:val="Hyperlink"/>
            <w:rFonts w:ascii="Calibri" w:hAnsi="Calibri"/>
            <w:sz w:val="18"/>
            <w:szCs w:val="18"/>
          </w:rPr>
          <w:t>http://www.iprt.ie/files/IPRT_Position_Paper_4_-_Human_Rights_in_Prison.pdf</w:t>
        </w:r>
      </w:hyperlink>
      <w:r w:rsidRPr="00883489">
        <w:rPr>
          <w:rFonts w:ascii="Calibri" w:hAnsi="Calibri"/>
          <w:sz w:val="18"/>
          <w:szCs w:val="18"/>
        </w:rPr>
        <w:t xml:space="preserve"> </w:t>
      </w:r>
    </w:p>
  </w:footnote>
  <w:footnote w:id="29">
    <w:p w:rsidR="001A4D79" w:rsidRPr="00883489" w:rsidRDefault="001A4D79" w:rsidP="001A4D79">
      <w:pPr>
        <w:pStyle w:val="FootnoteText"/>
        <w:rPr>
          <w:rFonts w:ascii="Calibri" w:hAnsi="Calibri"/>
          <w:sz w:val="18"/>
          <w:szCs w:val="18"/>
        </w:rPr>
      </w:pPr>
      <w:r w:rsidRPr="00883489">
        <w:rPr>
          <w:rStyle w:val="FootnoteReference"/>
          <w:rFonts w:ascii="Calibri" w:hAnsi="Calibri"/>
          <w:sz w:val="18"/>
          <w:szCs w:val="18"/>
        </w:rPr>
        <w:footnoteRef/>
      </w:r>
      <w:r w:rsidRPr="00883489">
        <w:rPr>
          <w:rFonts w:ascii="Calibri" w:hAnsi="Calibri"/>
          <w:sz w:val="18"/>
          <w:szCs w:val="18"/>
        </w:rPr>
        <w:t xml:space="preserve"> IPRT Briefing on Solitary Confinement, Isolation, Protection and Special Regimes, </w:t>
      </w:r>
      <w:hyperlink r:id="rId14" w:history="1">
        <w:r w:rsidRPr="00883489">
          <w:rPr>
            <w:rStyle w:val="Hyperlink"/>
            <w:rFonts w:ascii="Calibri" w:hAnsi="Calibri"/>
            <w:sz w:val="18"/>
            <w:szCs w:val="18"/>
          </w:rPr>
          <w:t>http://www.iprt.ie/files/IPRT_Briefing_on_Solitary_Confinement.pdf</w:t>
        </w:r>
      </w:hyperlink>
      <w:r w:rsidRPr="00883489">
        <w:rPr>
          <w:rFonts w:ascii="Calibri" w:hAnsi="Calibri"/>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C2947"/>
    <w:multiLevelType w:val="hybridMultilevel"/>
    <w:tmpl w:val="6CDA87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9555FE2"/>
    <w:multiLevelType w:val="hybridMultilevel"/>
    <w:tmpl w:val="535665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42A7C16"/>
    <w:multiLevelType w:val="hybridMultilevel"/>
    <w:tmpl w:val="6652B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B1147F1"/>
    <w:multiLevelType w:val="hybridMultilevel"/>
    <w:tmpl w:val="795E91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7A832EE"/>
    <w:multiLevelType w:val="hybridMultilevel"/>
    <w:tmpl w:val="26CA93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C09363B"/>
    <w:multiLevelType w:val="hybridMultilevel"/>
    <w:tmpl w:val="7F229E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FA76DEE"/>
    <w:multiLevelType w:val="hybridMultilevel"/>
    <w:tmpl w:val="C8DACC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F0C26ED"/>
    <w:multiLevelType w:val="hybridMultilevel"/>
    <w:tmpl w:val="1C80C4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FDC4D22"/>
    <w:multiLevelType w:val="hybridMultilevel"/>
    <w:tmpl w:val="BD0CFD12"/>
    <w:lvl w:ilvl="0" w:tplc="18090001">
      <w:start w:val="1"/>
      <w:numFmt w:val="bullet"/>
      <w:lvlText w:val=""/>
      <w:lvlJc w:val="left"/>
      <w:pPr>
        <w:ind w:left="720" w:hanging="360"/>
      </w:pPr>
      <w:rPr>
        <w:rFonts w:ascii="Symbol" w:hAnsi="Symbol" w:hint="default"/>
      </w:rPr>
    </w:lvl>
    <w:lvl w:ilvl="1" w:tplc="32C05086">
      <w:numFmt w:val="bullet"/>
      <w:lvlText w:val="-"/>
      <w:lvlJc w:val="left"/>
      <w:pPr>
        <w:ind w:left="1440" w:hanging="360"/>
      </w:pPr>
      <w:rPr>
        <w:rFonts w:ascii="Calibri" w:eastAsia="SimSun" w:hAnsi="Calibri"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8"/>
  </w:num>
  <w:num w:numId="6">
    <w:abstractNumId w:val="1"/>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D79"/>
    <w:rsid w:val="000F09B5"/>
    <w:rsid w:val="00152059"/>
    <w:rsid w:val="001A4D79"/>
    <w:rsid w:val="001B1EA3"/>
    <w:rsid w:val="002A2410"/>
    <w:rsid w:val="002B52F3"/>
    <w:rsid w:val="003164AA"/>
    <w:rsid w:val="0035506A"/>
    <w:rsid w:val="003A33A7"/>
    <w:rsid w:val="00420504"/>
    <w:rsid w:val="004C7EF6"/>
    <w:rsid w:val="004E0150"/>
    <w:rsid w:val="00590913"/>
    <w:rsid w:val="0059753E"/>
    <w:rsid w:val="00603E88"/>
    <w:rsid w:val="0062187C"/>
    <w:rsid w:val="00666B6C"/>
    <w:rsid w:val="0066767D"/>
    <w:rsid w:val="00675807"/>
    <w:rsid w:val="006E7BCB"/>
    <w:rsid w:val="00715595"/>
    <w:rsid w:val="0078570F"/>
    <w:rsid w:val="007D2101"/>
    <w:rsid w:val="00817DD2"/>
    <w:rsid w:val="00923D26"/>
    <w:rsid w:val="00952C3B"/>
    <w:rsid w:val="009828CC"/>
    <w:rsid w:val="00A01205"/>
    <w:rsid w:val="00A13A2C"/>
    <w:rsid w:val="00A20289"/>
    <w:rsid w:val="00A5288F"/>
    <w:rsid w:val="00B0382B"/>
    <w:rsid w:val="00C071AD"/>
    <w:rsid w:val="00C07D2D"/>
    <w:rsid w:val="00CD4FD5"/>
    <w:rsid w:val="00D16A65"/>
    <w:rsid w:val="00D20FAD"/>
    <w:rsid w:val="00D77300"/>
    <w:rsid w:val="00DA2CF8"/>
    <w:rsid w:val="00E00316"/>
    <w:rsid w:val="00EE2627"/>
    <w:rsid w:val="00F01087"/>
    <w:rsid w:val="00F02DDE"/>
    <w:rsid w:val="00F757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4D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4D79"/>
    <w:rPr>
      <w:sz w:val="20"/>
      <w:szCs w:val="20"/>
    </w:rPr>
  </w:style>
  <w:style w:type="character" w:customStyle="1" w:styleId="FootnoteCharacters">
    <w:name w:val="Footnote Characters"/>
    <w:rsid w:val="001A4D79"/>
    <w:rPr>
      <w:vertAlign w:val="superscript"/>
    </w:rPr>
  </w:style>
  <w:style w:type="character" w:styleId="FootnoteReference">
    <w:name w:val="footnote reference"/>
    <w:rsid w:val="001A4D79"/>
    <w:rPr>
      <w:vertAlign w:val="superscript"/>
    </w:rPr>
  </w:style>
  <w:style w:type="character" w:styleId="Hyperlink">
    <w:name w:val="Hyperlink"/>
    <w:rsid w:val="001A4D79"/>
    <w:rPr>
      <w:color w:val="0000FF"/>
      <w:u w:val="single"/>
    </w:rPr>
  </w:style>
  <w:style w:type="paragraph" w:styleId="BalloonText">
    <w:name w:val="Balloon Text"/>
    <w:basedOn w:val="Normal"/>
    <w:link w:val="BalloonTextChar"/>
    <w:uiPriority w:val="99"/>
    <w:semiHidden/>
    <w:unhideWhenUsed/>
    <w:rsid w:val="001A4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D79"/>
    <w:rPr>
      <w:rFonts w:ascii="Tahoma" w:hAnsi="Tahoma" w:cs="Tahoma"/>
      <w:sz w:val="16"/>
      <w:szCs w:val="16"/>
    </w:rPr>
  </w:style>
  <w:style w:type="paragraph" w:styleId="PlainText">
    <w:name w:val="Plain Text"/>
    <w:basedOn w:val="Normal"/>
    <w:link w:val="PlainTextChar"/>
    <w:uiPriority w:val="99"/>
    <w:semiHidden/>
    <w:unhideWhenUsed/>
    <w:rsid w:val="00E0031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00316"/>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4D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4D79"/>
    <w:rPr>
      <w:sz w:val="20"/>
      <w:szCs w:val="20"/>
    </w:rPr>
  </w:style>
  <w:style w:type="character" w:customStyle="1" w:styleId="FootnoteCharacters">
    <w:name w:val="Footnote Characters"/>
    <w:rsid w:val="001A4D79"/>
    <w:rPr>
      <w:vertAlign w:val="superscript"/>
    </w:rPr>
  </w:style>
  <w:style w:type="character" w:styleId="FootnoteReference">
    <w:name w:val="footnote reference"/>
    <w:rsid w:val="001A4D79"/>
    <w:rPr>
      <w:vertAlign w:val="superscript"/>
    </w:rPr>
  </w:style>
  <w:style w:type="character" w:styleId="Hyperlink">
    <w:name w:val="Hyperlink"/>
    <w:rsid w:val="001A4D79"/>
    <w:rPr>
      <w:color w:val="0000FF"/>
      <w:u w:val="single"/>
    </w:rPr>
  </w:style>
  <w:style w:type="paragraph" w:styleId="BalloonText">
    <w:name w:val="Balloon Text"/>
    <w:basedOn w:val="Normal"/>
    <w:link w:val="BalloonTextChar"/>
    <w:uiPriority w:val="99"/>
    <w:semiHidden/>
    <w:unhideWhenUsed/>
    <w:rsid w:val="001A4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D79"/>
    <w:rPr>
      <w:rFonts w:ascii="Tahoma" w:hAnsi="Tahoma" w:cs="Tahoma"/>
      <w:sz w:val="16"/>
      <w:szCs w:val="16"/>
    </w:rPr>
  </w:style>
  <w:style w:type="paragraph" w:styleId="PlainText">
    <w:name w:val="Plain Text"/>
    <w:basedOn w:val="Normal"/>
    <w:link w:val="PlainTextChar"/>
    <w:uiPriority w:val="99"/>
    <w:semiHidden/>
    <w:unhideWhenUsed/>
    <w:rsid w:val="00E0031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00316"/>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un.org/News/Press/docs/2011/gashc4014.doc.htm" TargetMode="External"/><Relationship Id="rId13" Type="http://schemas.openxmlformats.org/officeDocument/2006/relationships/hyperlink" Target="http://www.iprt.ie/files/IPRT_Position_Paper_4_-_Human_Rights_in_Prison.pdf" TargetMode="External"/><Relationship Id="rId3" Type="http://schemas.openxmlformats.org/officeDocument/2006/relationships/hyperlink" Target="http://www.irishprisons.ie/images/monthlyinfonote/form1_jan_14.pdf" TargetMode="External"/><Relationship Id="rId7" Type="http://schemas.openxmlformats.org/officeDocument/2006/relationships/hyperlink" Target="http://www.irishprisons.ie/images/monthlyinfonote/form2_jan_14.pdf" TargetMode="External"/><Relationship Id="rId12" Type="http://schemas.openxmlformats.org/officeDocument/2006/relationships/hyperlink" Target="http://www.iprt.ie/files/IPRT_Spent_Convictions_29012013.pdf" TargetMode="External"/><Relationship Id="rId2" Type="http://schemas.openxmlformats.org/officeDocument/2006/relationships/hyperlink" Target="http://www.irishprisons.ie/images/dailynumbers/12_mar_2014.pdf" TargetMode="External"/><Relationship Id="rId1" Type="http://schemas.openxmlformats.org/officeDocument/2006/relationships/hyperlink" Target="http://www.irishprisons.ie/images/monthlyinfonote/form1_jan_14.pdf" TargetMode="External"/><Relationship Id="rId6" Type="http://schemas.openxmlformats.org/officeDocument/2006/relationships/hyperlink" Target="http://www.oco.ie/assets/files/publications/complaints_and_investigations/OCOmetaanalysisofservicesforchildrenincare.pdf" TargetMode="External"/><Relationship Id="rId11" Type="http://schemas.openxmlformats.org/officeDocument/2006/relationships/hyperlink" Target="http://www.irishprisons.ie/images/pdf/strategicplanfinal.pdf" TargetMode="External"/><Relationship Id="rId5" Type="http://schemas.openxmlformats.org/officeDocument/2006/relationships/hyperlink" Target="http://www.leinsterexpress.ie/news/local-news/end-of-slopping-out-is-capital-dependent-1-5935263" TargetMode="External"/><Relationship Id="rId10" Type="http://schemas.openxmlformats.org/officeDocument/2006/relationships/hyperlink" Target="http://childrensrights.ie/sites/default/files/submissions_reports/files/REPORTCARD2014_0.pdf" TargetMode="External"/><Relationship Id="rId4" Type="http://schemas.openxmlformats.org/officeDocument/2006/relationships/hyperlink" Target="http://www.cpt.coe.int/documents/irl/2011-03-inf-eng.pdf" TargetMode="External"/><Relationship Id="rId9" Type="http://schemas.openxmlformats.org/officeDocument/2006/relationships/hyperlink" Target="http://www.iprt.ie/files/IPRT_Position_Paper_4_-_Human_Rights_in_Prison.pdf" TargetMode="External"/><Relationship Id="rId14" Type="http://schemas.openxmlformats.org/officeDocument/2006/relationships/hyperlink" Target="http://www.iprt.ie/files/IPRT_Briefing_on_Solitary_Confin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93C6A-481F-416A-9A88-6FD55096A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3195</Words>
  <Characters>18218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Malone</dc:creator>
  <cp:lastModifiedBy>Fíona Ní Chinneide</cp:lastModifiedBy>
  <cp:revision>2</cp:revision>
  <dcterms:created xsi:type="dcterms:W3CDTF">2014-06-19T16:39:00Z</dcterms:created>
  <dcterms:modified xsi:type="dcterms:W3CDTF">2014-06-19T16:39:00Z</dcterms:modified>
</cp:coreProperties>
</file>