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CE48F" w14:textId="77777777" w:rsidR="00AB2E5B" w:rsidRPr="001F7E66" w:rsidRDefault="00AB2E5B" w:rsidP="00AB2E5B">
      <w:pPr>
        <w:spacing w:before="60" w:after="100" w:line="240" w:lineRule="auto"/>
        <w:jc w:val="center"/>
        <w:rPr>
          <w:rFonts w:eastAsia="Calibri" w:cs="Arial"/>
          <w:b/>
          <w:sz w:val="24"/>
          <w:szCs w:val="24"/>
          <w:lang w:eastAsia="en-GB"/>
        </w:rPr>
      </w:pPr>
      <w:r w:rsidRPr="001F7E66">
        <w:rPr>
          <w:rFonts w:eastAsia="SimSun" w:cs="Mangal"/>
          <w:b/>
          <w:noProof/>
          <w:kern w:val="1"/>
          <w:sz w:val="24"/>
          <w:szCs w:val="24"/>
          <w:lang w:val="en-US"/>
        </w:rPr>
        <w:drawing>
          <wp:inline distT="0" distB="0" distL="0" distR="0" wp14:anchorId="05D9E6E8" wp14:editId="137C0263">
            <wp:extent cx="2622550" cy="958850"/>
            <wp:effectExtent l="0" t="0" r="6350" b="0"/>
            <wp:docPr id="1" name="Picture 1" descr="IPR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RT Logo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2550" cy="958850"/>
                    </a:xfrm>
                    <a:prstGeom prst="rect">
                      <a:avLst/>
                    </a:prstGeom>
                    <a:noFill/>
                    <a:ln>
                      <a:noFill/>
                    </a:ln>
                  </pic:spPr>
                </pic:pic>
              </a:graphicData>
            </a:graphic>
          </wp:inline>
        </w:drawing>
      </w:r>
    </w:p>
    <w:p w14:paraId="672931BD" w14:textId="77777777" w:rsidR="00AB2E5B" w:rsidRPr="001F7E66" w:rsidRDefault="00AB2E5B" w:rsidP="005E40AE">
      <w:pPr>
        <w:spacing w:before="60" w:after="100" w:line="240" w:lineRule="auto"/>
        <w:jc w:val="both"/>
        <w:rPr>
          <w:rFonts w:eastAsia="Calibri" w:cs="Arial"/>
          <w:b/>
          <w:sz w:val="40"/>
          <w:szCs w:val="40"/>
          <w:lang w:eastAsia="en-GB"/>
        </w:rPr>
      </w:pPr>
    </w:p>
    <w:p w14:paraId="059B6606" w14:textId="1CA6C865" w:rsidR="00672674" w:rsidRPr="001F7E66" w:rsidRDefault="00AD26CE" w:rsidP="00AE597D">
      <w:pPr>
        <w:spacing w:before="60" w:after="100" w:line="240" w:lineRule="auto"/>
        <w:jc w:val="center"/>
        <w:rPr>
          <w:rFonts w:eastAsia="Calibri" w:cs="Arial"/>
          <w:b/>
          <w:sz w:val="40"/>
          <w:szCs w:val="40"/>
          <w:lang w:eastAsia="en-GB"/>
        </w:rPr>
      </w:pPr>
      <w:r w:rsidRPr="001F7E66">
        <w:rPr>
          <w:rFonts w:eastAsia="Calibri" w:cs="Arial"/>
          <w:b/>
          <w:sz w:val="40"/>
          <w:szCs w:val="40"/>
          <w:lang w:eastAsia="en-GB"/>
        </w:rPr>
        <w:t>IPRT</w:t>
      </w:r>
      <w:r w:rsidR="00AE597D" w:rsidRPr="001F7E66">
        <w:rPr>
          <w:rFonts w:eastAsia="Calibri" w:cs="Arial"/>
          <w:b/>
          <w:sz w:val="40"/>
          <w:szCs w:val="40"/>
          <w:lang w:eastAsia="en-GB"/>
        </w:rPr>
        <w:t xml:space="preserve"> Submission to the</w:t>
      </w:r>
      <w:r w:rsidR="00672674" w:rsidRPr="001F7E66">
        <w:rPr>
          <w:rFonts w:eastAsia="Calibri" w:cs="Arial"/>
          <w:b/>
          <w:sz w:val="40"/>
          <w:szCs w:val="40"/>
          <w:lang w:eastAsia="en-GB"/>
        </w:rPr>
        <w:t xml:space="preserve"> NWCI CEDAW Shadow Report</w:t>
      </w:r>
    </w:p>
    <w:p w14:paraId="6C1CCC3A" w14:textId="5AF3958D" w:rsidR="00AE597D" w:rsidRPr="001F7E66" w:rsidRDefault="00AE597D" w:rsidP="00672674">
      <w:pPr>
        <w:spacing w:before="60" w:after="100" w:line="240" w:lineRule="auto"/>
        <w:jc w:val="center"/>
        <w:rPr>
          <w:rFonts w:eastAsia="Calibri" w:cs="Arial"/>
          <w:b/>
          <w:sz w:val="40"/>
          <w:szCs w:val="40"/>
          <w:lang w:eastAsia="en-GB"/>
        </w:rPr>
      </w:pPr>
      <w:r w:rsidRPr="001F7E66">
        <w:rPr>
          <w:rFonts w:eastAsia="Calibri" w:cs="Arial"/>
          <w:b/>
          <w:sz w:val="40"/>
          <w:szCs w:val="40"/>
          <w:lang w:eastAsia="en-GB"/>
        </w:rPr>
        <w:t xml:space="preserve"> </w:t>
      </w:r>
      <w:r w:rsidR="00672674" w:rsidRPr="001F7E66">
        <w:rPr>
          <w:rFonts w:eastAsia="Calibri" w:cs="Arial"/>
          <w:b/>
          <w:sz w:val="40"/>
          <w:szCs w:val="40"/>
          <w:lang w:eastAsia="en-GB"/>
        </w:rPr>
        <w:t>September 2016</w:t>
      </w:r>
    </w:p>
    <w:p w14:paraId="27D3B572" w14:textId="77777777" w:rsidR="00AE597D" w:rsidRPr="001F7E66" w:rsidRDefault="00AE597D" w:rsidP="005E40AE">
      <w:pPr>
        <w:spacing w:before="60" w:after="100" w:line="240" w:lineRule="auto"/>
        <w:jc w:val="both"/>
        <w:rPr>
          <w:rFonts w:eastAsia="Calibri" w:cs="Arial"/>
          <w:b/>
          <w:sz w:val="24"/>
          <w:szCs w:val="24"/>
          <w:lang w:eastAsia="en-GB"/>
        </w:rPr>
      </w:pPr>
    </w:p>
    <w:p w14:paraId="7FE4B14C" w14:textId="77777777" w:rsidR="00E32493" w:rsidRPr="001F7E66" w:rsidRDefault="00E32493" w:rsidP="00E32493">
      <w:pPr>
        <w:jc w:val="both"/>
        <w:rPr>
          <w:b/>
          <w:sz w:val="24"/>
          <w:szCs w:val="24"/>
          <w:u w:val="single"/>
        </w:rPr>
      </w:pPr>
      <w:r w:rsidRPr="001F7E66">
        <w:rPr>
          <w:b/>
          <w:sz w:val="24"/>
          <w:szCs w:val="24"/>
          <w:u w:val="single"/>
        </w:rPr>
        <w:t>Submitting Stakeholder</w:t>
      </w:r>
      <w:r w:rsidRPr="001F7E66">
        <w:rPr>
          <w:b/>
          <w:sz w:val="24"/>
          <w:szCs w:val="24"/>
        </w:rPr>
        <w:t>: Irish Penal Reform Trust</w:t>
      </w:r>
    </w:p>
    <w:p w14:paraId="0372BD7B" w14:textId="0EAC58A9" w:rsidR="00E32493" w:rsidRPr="001F7E66" w:rsidRDefault="00E32493" w:rsidP="00E32493">
      <w:pPr>
        <w:spacing w:after="0" w:line="240" w:lineRule="auto"/>
        <w:jc w:val="both"/>
        <w:rPr>
          <w:sz w:val="24"/>
          <w:szCs w:val="24"/>
        </w:rPr>
      </w:pPr>
      <w:r w:rsidRPr="001F7E66">
        <w:rPr>
          <w:sz w:val="24"/>
          <w:szCs w:val="24"/>
        </w:rPr>
        <w:t xml:space="preserve">Established in 1994, the Irish Penal Reform Trust (IPRT) is Ireland's leading non-governmental organisation campaigning for rights in the penal system and the progressive reform of Irish penal policy. Our vision is one of respect for </w:t>
      </w:r>
      <w:r w:rsidR="00E230AD" w:rsidRPr="001F7E66">
        <w:rPr>
          <w:sz w:val="24"/>
          <w:szCs w:val="24"/>
        </w:rPr>
        <w:t xml:space="preserve">human </w:t>
      </w:r>
      <w:r w:rsidRPr="001F7E66">
        <w:rPr>
          <w:sz w:val="24"/>
          <w:szCs w:val="24"/>
        </w:rPr>
        <w:t>rights in the penal system</w:t>
      </w:r>
      <w:r w:rsidR="00E230AD" w:rsidRPr="001F7E66">
        <w:rPr>
          <w:sz w:val="24"/>
          <w:szCs w:val="24"/>
        </w:rPr>
        <w:t>,</w:t>
      </w:r>
      <w:r w:rsidRPr="001F7E66">
        <w:rPr>
          <w:sz w:val="24"/>
          <w:szCs w:val="24"/>
        </w:rPr>
        <w:t xml:space="preserve"> with prison as </w:t>
      </w:r>
      <w:r w:rsidR="00E230AD" w:rsidRPr="001F7E66">
        <w:rPr>
          <w:sz w:val="24"/>
          <w:szCs w:val="24"/>
        </w:rPr>
        <w:t>a sanction of</w:t>
      </w:r>
      <w:r w:rsidRPr="001F7E66">
        <w:rPr>
          <w:sz w:val="24"/>
          <w:szCs w:val="24"/>
        </w:rPr>
        <w:t xml:space="preserve"> last resort. We are committed to respecting the rights of everyone in the penal system and to reducing imprisonment. We are working towards progressive reform of the penal system based on evidence-led policies and on a commitment to combating social injustice. </w:t>
      </w:r>
    </w:p>
    <w:p w14:paraId="63DBB760" w14:textId="77777777" w:rsidR="00E32493" w:rsidRPr="001F7E66" w:rsidRDefault="00E32493" w:rsidP="00E32493">
      <w:pPr>
        <w:spacing w:after="0" w:line="240" w:lineRule="auto"/>
        <w:jc w:val="both"/>
        <w:rPr>
          <w:sz w:val="24"/>
          <w:szCs w:val="24"/>
        </w:rPr>
      </w:pPr>
    </w:p>
    <w:p w14:paraId="7F16D7B4" w14:textId="77777777" w:rsidR="00E32493" w:rsidRPr="001F7E66" w:rsidRDefault="00E32493" w:rsidP="00E32493">
      <w:pPr>
        <w:spacing w:after="0" w:line="240" w:lineRule="auto"/>
        <w:jc w:val="both"/>
        <w:rPr>
          <w:sz w:val="24"/>
          <w:szCs w:val="24"/>
        </w:rPr>
      </w:pPr>
      <w:r w:rsidRPr="001F7E66">
        <w:rPr>
          <w:sz w:val="24"/>
          <w:szCs w:val="24"/>
        </w:rPr>
        <w:t>IPRT publishes a wide range of policy positions and research documents; we campaign vigorously across a wide range of penal policy issues; and we have established IPRT as the leading independent voice in public debate on the Irish penal system.</w:t>
      </w:r>
    </w:p>
    <w:p w14:paraId="2A5E21EF" w14:textId="77777777" w:rsidR="00E32493" w:rsidRPr="001F7E66" w:rsidRDefault="00E32493" w:rsidP="00E32493">
      <w:pPr>
        <w:spacing w:after="0" w:line="240" w:lineRule="auto"/>
        <w:jc w:val="both"/>
        <w:rPr>
          <w:sz w:val="24"/>
          <w:szCs w:val="24"/>
        </w:rPr>
      </w:pPr>
    </w:p>
    <w:p w14:paraId="784885F1" w14:textId="77777777" w:rsidR="00E32493" w:rsidRPr="001F7E66" w:rsidRDefault="00E32493" w:rsidP="00E32493">
      <w:pPr>
        <w:spacing w:after="0" w:line="240" w:lineRule="auto"/>
        <w:jc w:val="both"/>
        <w:rPr>
          <w:b/>
          <w:sz w:val="24"/>
          <w:szCs w:val="24"/>
          <w:u w:val="single"/>
        </w:rPr>
      </w:pPr>
      <w:r w:rsidRPr="001F7E66">
        <w:rPr>
          <w:b/>
          <w:sz w:val="24"/>
          <w:szCs w:val="24"/>
          <w:u w:val="single"/>
        </w:rPr>
        <w:t>Contact Details:</w:t>
      </w:r>
    </w:p>
    <w:p w14:paraId="114770A1" w14:textId="77777777" w:rsidR="00E32493" w:rsidRPr="001F7E66" w:rsidRDefault="00E32493" w:rsidP="00E32493">
      <w:pPr>
        <w:spacing w:after="0" w:line="240" w:lineRule="auto"/>
        <w:jc w:val="both"/>
        <w:rPr>
          <w:sz w:val="24"/>
          <w:szCs w:val="24"/>
        </w:rPr>
      </w:pPr>
      <w:r w:rsidRPr="001F7E66">
        <w:rPr>
          <w:b/>
          <w:sz w:val="24"/>
          <w:szCs w:val="24"/>
        </w:rPr>
        <w:t>Address:</w:t>
      </w:r>
      <w:r w:rsidRPr="001F7E66">
        <w:rPr>
          <w:sz w:val="24"/>
          <w:szCs w:val="24"/>
        </w:rPr>
        <w:t xml:space="preserve"> </w:t>
      </w:r>
      <w:r w:rsidRPr="001F7E66">
        <w:rPr>
          <w:sz w:val="24"/>
          <w:szCs w:val="24"/>
        </w:rPr>
        <w:tab/>
        <w:t>Irish Penal Reform Trust [IPRT]</w:t>
      </w:r>
    </w:p>
    <w:p w14:paraId="7CB8908C" w14:textId="77777777" w:rsidR="00E32493" w:rsidRPr="001F7E66" w:rsidRDefault="00E32493" w:rsidP="00E32493">
      <w:pPr>
        <w:spacing w:after="0" w:line="240" w:lineRule="auto"/>
        <w:ind w:left="720" w:firstLine="720"/>
        <w:jc w:val="both"/>
        <w:rPr>
          <w:sz w:val="24"/>
          <w:szCs w:val="24"/>
        </w:rPr>
      </w:pPr>
      <w:r w:rsidRPr="001F7E66">
        <w:rPr>
          <w:sz w:val="24"/>
          <w:szCs w:val="24"/>
        </w:rPr>
        <w:t>MACRO</w:t>
      </w:r>
    </w:p>
    <w:p w14:paraId="4F8E56AD" w14:textId="77777777" w:rsidR="00E32493" w:rsidRPr="001F7E66" w:rsidRDefault="00E32493" w:rsidP="00E32493">
      <w:pPr>
        <w:spacing w:after="0" w:line="240" w:lineRule="auto"/>
        <w:ind w:left="720" w:firstLine="720"/>
        <w:jc w:val="both"/>
        <w:rPr>
          <w:sz w:val="24"/>
          <w:szCs w:val="24"/>
        </w:rPr>
      </w:pPr>
      <w:r w:rsidRPr="001F7E66">
        <w:rPr>
          <w:sz w:val="24"/>
          <w:szCs w:val="24"/>
        </w:rPr>
        <w:t>1 Green Street</w:t>
      </w:r>
    </w:p>
    <w:p w14:paraId="22A00297" w14:textId="77777777" w:rsidR="00E32493" w:rsidRPr="001F7E66" w:rsidRDefault="00E32493" w:rsidP="00E32493">
      <w:pPr>
        <w:spacing w:after="0" w:line="240" w:lineRule="auto"/>
        <w:ind w:left="720" w:firstLine="720"/>
        <w:jc w:val="both"/>
        <w:rPr>
          <w:sz w:val="24"/>
          <w:szCs w:val="24"/>
        </w:rPr>
      </w:pPr>
      <w:r w:rsidRPr="001F7E66">
        <w:rPr>
          <w:sz w:val="24"/>
          <w:szCs w:val="24"/>
        </w:rPr>
        <w:t>Dublin 7</w:t>
      </w:r>
    </w:p>
    <w:p w14:paraId="6F90293A" w14:textId="77777777" w:rsidR="00E32493" w:rsidRPr="001F7E66" w:rsidRDefault="00E32493" w:rsidP="00E32493">
      <w:pPr>
        <w:spacing w:after="0" w:line="240" w:lineRule="auto"/>
        <w:ind w:left="720" w:firstLine="720"/>
        <w:jc w:val="both"/>
        <w:rPr>
          <w:sz w:val="24"/>
          <w:szCs w:val="24"/>
        </w:rPr>
      </w:pPr>
      <w:r w:rsidRPr="001F7E66">
        <w:rPr>
          <w:sz w:val="24"/>
          <w:szCs w:val="24"/>
        </w:rPr>
        <w:t>IRELAND</w:t>
      </w:r>
    </w:p>
    <w:p w14:paraId="088A9620" w14:textId="77777777" w:rsidR="00E32493" w:rsidRPr="001F7E66" w:rsidRDefault="00E32493" w:rsidP="00E32493">
      <w:pPr>
        <w:spacing w:after="0" w:line="240" w:lineRule="auto"/>
        <w:jc w:val="both"/>
        <w:rPr>
          <w:sz w:val="24"/>
          <w:szCs w:val="24"/>
        </w:rPr>
      </w:pPr>
      <w:r w:rsidRPr="001F7E66">
        <w:rPr>
          <w:b/>
          <w:sz w:val="24"/>
          <w:szCs w:val="24"/>
        </w:rPr>
        <w:t>Phone:</w:t>
      </w:r>
      <w:r w:rsidRPr="001F7E66">
        <w:rPr>
          <w:sz w:val="24"/>
          <w:szCs w:val="24"/>
        </w:rPr>
        <w:t xml:space="preserve"> </w:t>
      </w:r>
      <w:r w:rsidRPr="001F7E66">
        <w:rPr>
          <w:sz w:val="24"/>
          <w:szCs w:val="24"/>
        </w:rPr>
        <w:tab/>
        <w:t>00353 1 874 1400</w:t>
      </w:r>
    </w:p>
    <w:p w14:paraId="47AE0D6F" w14:textId="77777777" w:rsidR="00E32493" w:rsidRPr="001F7E66" w:rsidRDefault="00E32493" w:rsidP="00E32493">
      <w:pPr>
        <w:spacing w:after="0" w:line="240" w:lineRule="auto"/>
        <w:jc w:val="both"/>
        <w:rPr>
          <w:sz w:val="24"/>
          <w:szCs w:val="24"/>
        </w:rPr>
      </w:pPr>
      <w:r w:rsidRPr="001F7E66">
        <w:rPr>
          <w:b/>
          <w:sz w:val="24"/>
          <w:szCs w:val="24"/>
        </w:rPr>
        <w:t>Website:</w:t>
      </w:r>
      <w:r w:rsidRPr="001F7E66">
        <w:rPr>
          <w:sz w:val="24"/>
          <w:szCs w:val="24"/>
        </w:rPr>
        <w:t xml:space="preserve"> </w:t>
      </w:r>
      <w:r w:rsidRPr="001F7E66">
        <w:rPr>
          <w:sz w:val="24"/>
          <w:szCs w:val="24"/>
        </w:rPr>
        <w:tab/>
      </w:r>
      <w:hyperlink r:id="rId9" w:history="1">
        <w:r w:rsidRPr="001F7E66">
          <w:rPr>
            <w:rStyle w:val="Hyperlink"/>
            <w:sz w:val="24"/>
            <w:szCs w:val="24"/>
          </w:rPr>
          <w:t>www.iprt.ie</w:t>
        </w:r>
      </w:hyperlink>
    </w:p>
    <w:p w14:paraId="7B4643EC" w14:textId="65D0E40A" w:rsidR="00E32493" w:rsidRPr="001F7E66" w:rsidRDefault="00E32493" w:rsidP="00E32493">
      <w:pPr>
        <w:spacing w:after="0" w:line="240" w:lineRule="auto"/>
        <w:jc w:val="both"/>
        <w:rPr>
          <w:sz w:val="24"/>
          <w:szCs w:val="24"/>
        </w:rPr>
      </w:pPr>
      <w:r w:rsidRPr="001F7E66">
        <w:rPr>
          <w:b/>
          <w:sz w:val="24"/>
          <w:szCs w:val="24"/>
        </w:rPr>
        <w:t>Twitter:</w:t>
      </w:r>
      <w:r w:rsidR="001C03F6" w:rsidRPr="001F7E66">
        <w:rPr>
          <w:sz w:val="24"/>
          <w:szCs w:val="24"/>
        </w:rPr>
        <w:t xml:space="preserve"> </w:t>
      </w:r>
      <w:r w:rsidR="001C03F6" w:rsidRPr="001F7E66">
        <w:rPr>
          <w:sz w:val="24"/>
          <w:szCs w:val="24"/>
        </w:rPr>
        <w:tab/>
        <w:t>@IPRT</w:t>
      </w:r>
    </w:p>
    <w:p w14:paraId="51A8A474" w14:textId="77777777" w:rsidR="00E32493" w:rsidRPr="001F7E66" w:rsidRDefault="00E32493" w:rsidP="00E32493">
      <w:pPr>
        <w:jc w:val="both"/>
        <w:rPr>
          <w:b/>
          <w:sz w:val="24"/>
          <w:szCs w:val="24"/>
        </w:rPr>
      </w:pPr>
    </w:p>
    <w:p w14:paraId="4DB9C963" w14:textId="77777777" w:rsidR="00E32493" w:rsidRPr="001F7E66" w:rsidRDefault="00E32493" w:rsidP="00E32493">
      <w:pPr>
        <w:jc w:val="both"/>
        <w:rPr>
          <w:b/>
          <w:sz w:val="24"/>
          <w:szCs w:val="24"/>
        </w:rPr>
      </w:pPr>
    </w:p>
    <w:p w14:paraId="3B3AECEE" w14:textId="77777777" w:rsidR="00832EFA" w:rsidRPr="001F7E66" w:rsidRDefault="00832EFA" w:rsidP="00CB1FC8">
      <w:pPr>
        <w:spacing w:before="60" w:after="100" w:line="240" w:lineRule="auto"/>
        <w:jc w:val="both"/>
        <w:rPr>
          <w:b/>
          <w:sz w:val="24"/>
          <w:szCs w:val="24"/>
        </w:rPr>
      </w:pPr>
    </w:p>
    <w:p w14:paraId="1CD53D45" w14:textId="77777777" w:rsidR="006700CE" w:rsidRPr="001F7E66" w:rsidRDefault="006700CE" w:rsidP="00CB1FC8">
      <w:pPr>
        <w:spacing w:before="60" w:after="100" w:line="240" w:lineRule="auto"/>
        <w:jc w:val="both"/>
        <w:rPr>
          <w:b/>
          <w:sz w:val="24"/>
          <w:szCs w:val="24"/>
        </w:rPr>
      </w:pPr>
    </w:p>
    <w:p w14:paraId="4AC8EC63" w14:textId="77777777" w:rsidR="00672674" w:rsidRPr="001F7E66" w:rsidRDefault="00672674" w:rsidP="00CB1FC8">
      <w:pPr>
        <w:spacing w:before="60" w:after="100" w:line="240" w:lineRule="auto"/>
        <w:jc w:val="both"/>
        <w:rPr>
          <w:b/>
          <w:sz w:val="24"/>
          <w:szCs w:val="24"/>
        </w:rPr>
      </w:pPr>
    </w:p>
    <w:p w14:paraId="192179F8" w14:textId="77777777" w:rsidR="00672674" w:rsidRPr="001F7E66" w:rsidRDefault="00672674" w:rsidP="00CB1FC8">
      <w:pPr>
        <w:spacing w:before="60" w:after="100" w:line="240" w:lineRule="auto"/>
        <w:jc w:val="both"/>
        <w:rPr>
          <w:b/>
          <w:sz w:val="24"/>
          <w:szCs w:val="24"/>
        </w:rPr>
      </w:pPr>
    </w:p>
    <w:p w14:paraId="3450D711" w14:textId="77777777" w:rsidR="00672674" w:rsidRPr="001F7E66" w:rsidRDefault="00672674" w:rsidP="00CB1FC8">
      <w:pPr>
        <w:spacing w:before="60" w:after="100" w:line="240" w:lineRule="auto"/>
        <w:jc w:val="both"/>
        <w:rPr>
          <w:b/>
          <w:sz w:val="24"/>
          <w:szCs w:val="24"/>
        </w:rPr>
      </w:pPr>
    </w:p>
    <w:p w14:paraId="1C5774F4" w14:textId="77777777" w:rsidR="00672674" w:rsidRPr="001F7E66" w:rsidRDefault="00672674" w:rsidP="00CB1FC8">
      <w:pPr>
        <w:spacing w:before="60" w:after="100" w:line="240" w:lineRule="auto"/>
        <w:jc w:val="both"/>
        <w:rPr>
          <w:b/>
          <w:sz w:val="24"/>
          <w:szCs w:val="24"/>
        </w:rPr>
      </w:pPr>
    </w:p>
    <w:p w14:paraId="622E7CF2" w14:textId="77777777" w:rsidR="00672674" w:rsidRPr="001F7E66" w:rsidRDefault="00672674" w:rsidP="00CB1FC8">
      <w:pPr>
        <w:spacing w:before="60" w:after="100" w:line="240" w:lineRule="auto"/>
        <w:jc w:val="both"/>
        <w:rPr>
          <w:b/>
          <w:sz w:val="24"/>
          <w:szCs w:val="24"/>
        </w:rPr>
      </w:pPr>
    </w:p>
    <w:p w14:paraId="33FB7009" w14:textId="2B083F02" w:rsidR="00672674" w:rsidRPr="001F7E66" w:rsidRDefault="00672674" w:rsidP="00CB1FC8">
      <w:pPr>
        <w:spacing w:before="60" w:after="100" w:line="240" w:lineRule="auto"/>
        <w:jc w:val="both"/>
        <w:rPr>
          <w:b/>
          <w:sz w:val="24"/>
          <w:szCs w:val="24"/>
          <w:u w:val="single"/>
        </w:rPr>
      </w:pPr>
      <w:r w:rsidRPr="001F7E66">
        <w:rPr>
          <w:b/>
          <w:sz w:val="24"/>
          <w:szCs w:val="24"/>
          <w:u w:val="single"/>
        </w:rPr>
        <w:t>Methodology</w:t>
      </w:r>
    </w:p>
    <w:p w14:paraId="7665F7CE" w14:textId="43B990FD" w:rsidR="00672674" w:rsidRPr="00D97BE4" w:rsidRDefault="00672674" w:rsidP="00CB1FC8">
      <w:pPr>
        <w:spacing w:before="60" w:after="100" w:line="240" w:lineRule="auto"/>
        <w:jc w:val="both"/>
        <w:rPr>
          <w:sz w:val="24"/>
          <w:szCs w:val="24"/>
        </w:rPr>
      </w:pPr>
      <w:r w:rsidRPr="00D97BE4">
        <w:rPr>
          <w:sz w:val="24"/>
          <w:szCs w:val="24"/>
        </w:rPr>
        <w:t xml:space="preserve">In preparation for this submission, IPRT has relied on the findings of our </w:t>
      </w:r>
      <w:r w:rsidR="000661B2">
        <w:rPr>
          <w:sz w:val="24"/>
          <w:szCs w:val="24"/>
        </w:rPr>
        <w:t xml:space="preserve">2013 </w:t>
      </w:r>
      <w:r w:rsidRPr="00D97BE4">
        <w:rPr>
          <w:sz w:val="24"/>
          <w:szCs w:val="24"/>
        </w:rPr>
        <w:t xml:space="preserve">Position Paper </w:t>
      </w:r>
      <w:r w:rsidRPr="00D97BE4">
        <w:rPr>
          <w:i/>
          <w:sz w:val="24"/>
          <w:szCs w:val="24"/>
        </w:rPr>
        <w:t>Women in the Criminal Justice System</w:t>
      </w:r>
      <w:r w:rsidR="000661B2" w:rsidRPr="000661B2">
        <w:rPr>
          <w:rStyle w:val="FootnoteReference"/>
          <w:sz w:val="24"/>
          <w:szCs w:val="24"/>
        </w:rPr>
        <w:footnoteReference w:id="1"/>
      </w:r>
      <w:r w:rsidRPr="000661B2">
        <w:rPr>
          <w:sz w:val="24"/>
          <w:szCs w:val="24"/>
        </w:rPr>
        <w:t>,</w:t>
      </w:r>
      <w:r w:rsidRPr="00D97BE4">
        <w:rPr>
          <w:sz w:val="24"/>
          <w:szCs w:val="24"/>
        </w:rPr>
        <w:t xml:space="preserve"> the independent reports of the Inspector of Prisons, the reports of the Prison Visiting Committees, and the findings and recommendations of the </w:t>
      </w:r>
      <w:r w:rsidRPr="00D97BE4">
        <w:rPr>
          <w:i/>
          <w:sz w:val="24"/>
          <w:szCs w:val="24"/>
        </w:rPr>
        <w:t>Report of the Strategic Review Group on Penal Policy</w:t>
      </w:r>
      <w:r w:rsidRPr="00D97BE4">
        <w:rPr>
          <w:rStyle w:val="FootnoteReference"/>
          <w:sz w:val="24"/>
          <w:szCs w:val="24"/>
        </w:rPr>
        <w:footnoteReference w:id="2"/>
      </w:r>
      <w:r w:rsidR="000661B2">
        <w:rPr>
          <w:i/>
          <w:sz w:val="24"/>
          <w:szCs w:val="24"/>
        </w:rPr>
        <w:t>.</w:t>
      </w:r>
      <w:r w:rsidR="00156D9E" w:rsidRPr="00D97BE4">
        <w:rPr>
          <w:sz w:val="24"/>
          <w:szCs w:val="24"/>
        </w:rPr>
        <w:t xml:space="preserve"> </w:t>
      </w:r>
      <w:r w:rsidR="00D97BE4">
        <w:rPr>
          <w:sz w:val="24"/>
          <w:szCs w:val="24"/>
        </w:rPr>
        <w:t>I</w:t>
      </w:r>
      <w:r w:rsidR="00D97BE4" w:rsidRPr="00D97BE4">
        <w:rPr>
          <w:sz w:val="24"/>
          <w:szCs w:val="24"/>
        </w:rPr>
        <w:t xml:space="preserve">n late 2015 </w:t>
      </w:r>
      <w:r w:rsidR="00D97BE4">
        <w:rPr>
          <w:sz w:val="24"/>
          <w:szCs w:val="24"/>
        </w:rPr>
        <w:t xml:space="preserve">we consulted </w:t>
      </w:r>
      <w:r w:rsidR="00D97BE4" w:rsidRPr="00D97BE4">
        <w:rPr>
          <w:sz w:val="24"/>
          <w:szCs w:val="24"/>
        </w:rPr>
        <w:t xml:space="preserve">with women residing in the </w:t>
      </w:r>
      <w:proofErr w:type="spellStart"/>
      <w:r w:rsidR="00D97BE4" w:rsidRPr="00D97BE4">
        <w:rPr>
          <w:sz w:val="24"/>
          <w:szCs w:val="24"/>
        </w:rPr>
        <w:t>Dóchas</w:t>
      </w:r>
      <w:proofErr w:type="spellEnd"/>
      <w:r w:rsidR="00D97BE4" w:rsidRPr="00D97BE4">
        <w:rPr>
          <w:sz w:val="24"/>
          <w:szCs w:val="24"/>
        </w:rPr>
        <w:t xml:space="preserve"> Centre</w:t>
      </w:r>
      <w:r w:rsidR="00D97BE4">
        <w:rPr>
          <w:sz w:val="24"/>
          <w:szCs w:val="24"/>
        </w:rPr>
        <w:t xml:space="preserve"> and quotes from that consultation are included</w:t>
      </w:r>
      <w:r w:rsidR="00D97BE4" w:rsidRPr="00D97BE4">
        <w:rPr>
          <w:sz w:val="24"/>
          <w:szCs w:val="24"/>
        </w:rPr>
        <w:t>.</w:t>
      </w:r>
      <w:r w:rsidR="00D97BE4">
        <w:rPr>
          <w:sz w:val="24"/>
          <w:szCs w:val="24"/>
        </w:rPr>
        <w:t xml:space="preserve"> We have also included quotes from</w:t>
      </w:r>
      <w:r w:rsidR="001C03F6" w:rsidRPr="00D97BE4">
        <w:rPr>
          <w:sz w:val="24"/>
          <w:szCs w:val="24"/>
        </w:rPr>
        <w:t xml:space="preserve"> </w:t>
      </w:r>
      <w:r w:rsidR="00D97BE4" w:rsidRPr="00D97BE4">
        <w:rPr>
          <w:sz w:val="24"/>
          <w:szCs w:val="24"/>
        </w:rPr>
        <w:t>i</w:t>
      </w:r>
      <w:r w:rsidR="00D97BE4">
        <w:rPr>
          <w:sz w:val="24"/>
          <w:szCs w:val="24"/>
        </w:rPr>
        <w:t>nterviews with</w:t>
      </w:r>
      <w:r w:rsidR="00D97BE4" w:rsidRPr="00D97BE4">
        <w:rPr>
          <w:sz w:val="24"/>
          <w:szCs w:val="24"/>
        </w:rPr>
        <w:t xml:space="preserve"> five Traveller women </w:t>
      </w:r>
      <w:r w:rsidR="00D97BE4">
        <w:rPr>
          <w:sz w:val="24"/>
          <w:szCs w:val="24"/>
        </w:rPr>
        <w:t>taken from</w:t>
      </w:r>
      <w:r w:rsidR="00D97BE4" w:rsidRPr="00D97BE4">
        <w:rPr>
          <w:sz w:val="24"/>
          <w:szCs w:val="24"/>
        </w:rPr>
        <w:t xml:space="preserve"> our report </w:t>
      </w:r>
      <w:r w:rsidR="00D97BE4" w:rsidRPr="00D97BE4">
        <w:rPr>
          <w:i/>
          <w:sz w:val="24"/>
          <w:szCs w:val="24"/>
        </w:rPr>
        <w:t>T</w:t>
      </w:r>
      <w:r w:rsidR="00D97BE4" w:rsidRPr="00D97BE4">
        <w:rPr>
          <w:rStyle w:val="Emphasis"/>
          <w:sz w:val="24"/>
          <w:szCs w:val="24"/>
        </w:rPr>
        <w:t>ravellers in the Irish Prison System: A qualitative study</w:t>
      </w:r>
      <w:r w:rsidR="000661B2">
        <w:rPr>
          <w:rStyle w:val="FootnoteReference"/>
          <w:i/>
          <w:iCs/>
          <w:sz w:val="24"/>
          <w:szCs w:val="24"/>
        </w:rPr>
        <w:footnoteReference w:id="3"/>
      </w:r>
      <w:r w:rsidR="00D97BE4" w:rsidRPr="00D97BE4">
        <w:rPr>
          <w:sz w:val="24"/>
          <w:szCs w:val="24"/>
        </w:rPr>
        <w:t xml:space="preserve"> </w:t>
      </w:r>
      <w:r w:rsidR="00D97BE4">
        <w:rPr>
          <w:sz w:val="24"/>
          <w:szCs w:val="24"/>
        </w:rPr>
        <w:t xml:space="preserve">and interviews </w:t>
      </w:r>
      <w:r w:rsidR="0066545D">
        <w:rPr>
          <w:sz w:val="24"/>
          <w:szCs w:val="24"/>
        </w:rPr>
        <w:t>with women conducted</w:t>
      </w:r>
      <w:r w:rsidR="00D97BE4">
        <w:rPr>
          <w:sz w:val="24"/>
          <w:szCs w:val="24"/>
        </w:rPr>
        <w:t xml:space="preserve"> for our report </w:t>
      </w:r>
      <w:r w:rsidR="00D97BE4" w:rsidRPr="00D97BE4">
        <w:rPr>
          <w:i/>
          <w:sz w:val="24"/>
          <w:szCs w:val="24"/>
        </w:rPr>
        <w:t>Out on the Inside - LGBT people in prison</w:t>
      </w:r>
      <w:r w:rsidR="000661B2">
        <w:rPr>
          <w:rStyle w:val="FootnoteReference"/>
          <w:i/>
          <w:sz w:val="24"/>
          <w:szCs w:val="24"/>
        </w:rPr>
        <w:footnoteReference w:id="4"/>
      </w:r>
      <w:r w:rsidR="00D97BE4">
        <w:rPr>
          <w:i/>
          <w:sz w:val="24"/>
          <w:szCs w:val="24"/>
        </w:rPr>
        <w:t xml:space="preserve">. </w:t>
      </w:r>
      <w:r w:rsidR="00D97BE4" w:rsidRPr="00D97BE4">
        <w:rPr>
          <w:i/>
          <w:sz w:val="24"/>
          <w:szCs w:val="24"/>
        </w:rPr>
        <w:t xml:space="preserve">  </w:t>
      </w:r>
    </w:p>
    <w:p w14:paraId="0920CA03" w14:textId="77777777" w:rsidR="001F7E66" w:rsidRPr="001F7E66" w:rsidRDefault="001F7E66" w:rsidP="00CB1FC8">
      <w:pPr>
        <w:spacing w:before="60" w:after="100" w:line="240" w:lineRule="auto"/>
        <w:jc w:val="both"/>
        <w:rPr>
          <w:b/>
          <w:sz w:val="24"/>
          <w:szCs w:val="24"/>
          <w:u w:val="single"/>
        </w:rPr>
      </w:pPr>
    </w:p>
    <w:p w14:paraId="70DE0323" w14:textId="78D28FD1" w:rsidR="00156D9E" w:rsidRPr="001F7E66" w:rsidRDefault="001F7E66" w:rsidP="00CB1FC8">
      <w:pPr>
        <w:spacing w:before="60" w:after="100" w:line="240" w:lineRule="auto"/>
        <w:jc w:val="both"/>
        <w:rPr>
          <w:b/>
          <w:sz w:val="24"/>
          <w:szCs w:val="24"/>
          <w:u w:val="single"/>
        </w:rPr>
      </w:pPr>
      <w:r w:rsidRPr="001F7E66">
        <w:rPr>
          <w:b/>
          <w:sz w:val="24"/>
          <w:szCs w:val="24"/>
          <w:u w:val="single"/>
        </w:rPr>
        <w:t>Issues</w:t>
      </w:r>
    </w:p>
    <w:p w14:paraId="4289BF33" w14:textId="407BAC8C" w:rsidR="0066545D" w:rsidRDefault="00156D9E" w:rsidP="00CB1FC8">
      <w:pPr>
        <w:spacing w:before="60" w:after="100" w:line="240" w:lineRule="auto"/>
        <w:jc w:val="both"/>
        <w:rPr>
          <w:sz w:val="24"/>
          <w:szCs w:val="24"/>
        </w:rPr>
      </w:pPr>
      <w:r w:rsidRPr="001F7E66">
        <w:rPr>
          <w:sz w:val="24"/>
          <w:szCs w:val="24"/>
        </w:rPr>
        <w:t>In this submission, IPRT would like to draw the NWCI’s attention to a number of areas of pressing co</w:t>
      </w:r>
      <w:r w:rsidR="007C6C6C" w:rsidRPr="001F7E66">
        <w:rPr>
          <w:sz w:val="24"/>
          <w:szCs w:val="24"/>
        </w:rPr>
        <w:t>ncern relating to women and the penal system</w:t>
      </w:r>
      <w:r w:rsidR="0066545D">
        <w:rPr>
          <w:sz w:val="24"/>
          <w:szCs w:val="24"/>
        </w:rPr>
        <w:t xml:space="preserve"> in Ireland:</w:t>
      </w:r>
    </w:p>
    <w:p w14:paraId="1019EDCF" w14:textId="77777777" w:rsidR="0066545D" w:rsidRPr="001F7E66" w:rsidRDefault="0066545D" w:rsidP="00CB1FC8">
      <w:pPr>
        <w:spacing w:before="60" w:after="100" w:line="240" w:lineRule="auto"/>
        <w:jc w:val="both"/>
        <w:rPr>
          <w:sz w:val="24"/>
          <w:szCs w:val="24"/>
        </w:rPr>
      </w:pPr>
    </w:p>
    <w:p w14:paraId="4EE4782A" w14:textId="721ABC4B" w:rsidR="00156D9E" w:rsidRPr="001F7E66" w:rsidRDefault="000661B2" w:rsidP="00156D9E">
      <w:pPr>
        <w:pStyle w:val="ListParagraph"/>
        <w:numPr>
          <w:ilvl w:val="0"/>
          <w:numId w:val="16"/>
        </w:numPr>
        <w:spacing w:after="100" w:line="240" w:lineRule="auto"/>
        <w:jc w:val="both"/>
        <w:rPr>
          <w:rFonts w:asciiTheme="minorHAnsi" w:hAnsiTheme="minorHAnsi"/>
          <w:sz w:val="24"/>
          <w:szCs w:val="24"/>
        </w:rPr>
      </w:pPr>
      <w:r>
        <w:rPr>
          <w:rFonts w:asciiTheme="minorHAnsi" w:hAnsiTheme="minorHAnsi"/>
          <w:sz w:val="24"/>
          <w:szCs w:val="24"/>
        </w:rPr>
        <w:t>High</w:t>
      </w:r>
      <w:r w:rsidR="00156D9E" w:rsidRPr="001F7E66">
        <w:rPr>
          <w:rFonts w:asciiTheme="minorHAnsi" w:hAnsiTheme="minorHAnsi"/>
          <w:sz w:val="24"/>
          <w:szCs w:val="24"/>
        </w:rPr>
        <w:t xml:space="preserve"> number</w:t>
      </w:r>
      <w:r>
        <w:rPr>
          <w:rFonts w:asciiTheme="minorHAnsi" w:hAnsiTheme="minorHAnsi"/>
          <w:sz w:val="24"/>
          <w:szCs w:val="24"/>
        </w:rPr>
        <w:t>s</w:t>
      </w:r>
      <w:r w:rsidR="00156D9E" w:rsidRPr="001F7E66">
        <w:rPr>
          <w:rFonts w:asciiTheme="minorHAnsi" w:hAnsiTheme="minorHAnsi"/>
          <w:sz w:val="24"/>
          <w:szCs w:val="24"/>
        </w:rPr>
        <w:t xml:space="preserve"> of women committed to prison</w:t>
      </w:r>
    </w:p>
    <w:p w14:paraId="3CA083E8" w14:textId="23E30074" w:rsidR="00156D9E" w:rsidRPr="000661B2" w:rsidRDefault="0066545D" w:rsidP="000661B2">
      <w:pPr>
        <w:pStyle w:val="ListParagraph"/>
        <w:numPr>
          <w:ilvl w:val="0"/>
          <w:numId w:val="16"/>
        </w:numPr>
        <w:spacing w:after="100" w:line="240" w:lineRule="auto"/>
        <w:jc w:val="both"/>
        <w:rPr>
          <w:rFonts w:asciiTheme="minorHAnsi" w:hAnsiTheme="minorHAnsi"/>
          <w:sz w:val="24"/>
          <w:szCs w:val="24"/>
        </w:rPr>
      </w:pPr>
      <w:r>
        <w:rPr>
          <w:rFonts w:asciiTheme="minorHAnsi" w:hAnsiTheme="minorHAnsi"/>
          <w:sz w:val="24"/>
          <w:szCs w:val="24"/>
        </w:rPr>
        <w:t>C</w:t>
      </w:r>
      <w:r w:rsidR="000661B2">
        <w:rPr>
          <w:rFonts w:asciiTheme="minorHAnsi" w:hAnsiTheme="minorHAnsi"/>
          <w:sz w:val="24"/>
          <w:szCs w:val="24"/>
        </w:rPr>
        <w:t>onditions, regimes and activities</w:t>
      </w:r>
      <w:r w:rsidR="00156D9E" w:rsidRPr="000661B2">
        <w:rPr>
          <w:rFonts w:asciiTheme="minorHAnsi" w:hAnsiTheme="minorHAnsi"/>
          <w:sz w:val="24"/>
          <w:szCs w:val="24"/>
        </w:rPr>
        <w:t xml:space="preserve"> </w:t>
      </w:r>
    </w:p>
    <w:p w14:paraId="5E94AA0F" w14:textId="637A86B8" w:rsidR="00AD26CE" w:rsidRPr="001F7E66" w:rsidRDefault="000661B2" w:rsidP="00156D9E">
      <w:pPr>
        <w:pStyle w:val="ListParagraph"/>
        <w:numPr>
          <w:ilvl w:val="0"/>
          <w:numId w:val="16"/>
        </w:numPr>
        <w:spacing w:after="100" w:line="240" w:lineRule="auto"/>
        <w:jc w:val="both"/>
        <w:rPr>
          <w:rFonts w:asciiTheme="minorHAnsi" w:hAnsiTheme="minorHAnsi"/>
          <w:sz w:val="24"/>
          <w:szCs w:val="24"/>
        </w:rPr>
      </w:pPr>
      <w:r>
        <w:rPr>
          <w:rFonts w:asciiTheme="minorHAnsi" w:hAnsiTheme="minorHAnsi"/>
          <w:sz w:val="24"/>
          <w:szCs w:val="24"/>
        </w:rPr>
        <w:t>M</w:t>
      </w:r>
      <w:r w:rsidR="00AD26CE" w:rsidRPr="001F7E66">
        <w:rPr>
          <w:rFonts w:asciiTheme="minorHAnsi" w:hAnsiTheme="minorHAnsi"/>
          <w:sz w:val="24"/>
          <w:szCs w:val="24"/>
        </w:rPr>
        <w:t xml:space="preserve">ental health </w:t>
      </w:r>
    </w:p>
    <w:p w14:paraId="4DA8B40B" w14:textId="3F285500" w:rsidR="000661B2" w:rsidRDefault="000661B2" w:rsidP="00156D9E">
      <w:pPr>
        <w:pStyle w:val="ListParagraph"/>
        <w:numPr>
          <w:ilvl w:val="0"/>
          <w:numId w:val="16"/>
        </w:numPr>
        <w:spacing w:after="100" w:line="240" w:lineRule="auto"/>
        <w:jc w:val="both"/>
        <w:rPr>
          <w:rFonts w:asciiTheme="minorHAnsi" w:hAnsiTheme="minorHAnsi"/>
          <w:sz w:val="24"/>
          <w:szCs w:val="24"/>
        </w:rPr>
      </w:pPr>
      <w:r>
        <w:rPr>
          <w:rFonts w:asciiTheme="minorHAnsi" w:hAnsiTheme="minorHAnsi"/>
          <w:sz w:val="24"/>
          <w:szCs w:val="24"/>
        </w:rPr>
        <w:t xml:space="preserve">Step-down and </w:t>
      </w:r>
      <w:r w:rsidRPr="001F7E66">
        <w:rPr>
          <w:rFonts w:asciiTheme="minorHAnsi" w:hAnsiTheme="minorHAnsi"/>
          <w:sz w:val="24"/>
          <w:szCs w:val="24"/>
        </w:rPr>
        <w:t xml:space="preserve">post-release </w:t>
      </w:r>
      <w:r w:rsidRPr="001F7E66">
        <w:rPr>
          <w:rFonts w:asciiTheme="minorHAnsi" w:hAnsiTheme="minorHAnsi"/>
          <w:sz w:val="24"/>
          <w:szCs w:val="24"/>
          <w:lang w:val="en-IE"/>
        </w:rPr>
        <w:t>programme</w:t>
      </w:r>
      <w:r>
        <w:rPr>
          <w:rFonts w:asciiTheme="minorHAnsi" w:hAnsiTheme="minorHAnsi"/>
          <w:sz w:val="24"/>
          <w:szCs w:val="24"/>
        </w:rPr>
        <w:t>s</w:t>
      </w:r>
    </w:p>
    <w:p w14:paraId="17B3CFE6" w14:textId="20DB2BDF" w:rsidR="00AD26CE" w:rsidRPr="001F7E66" w:rsidRDefault="000661B2" w:rsidP="00156D9E">
      <w:pPr>
        <w:pStyle w:val="ListParagraph"/>
        <w:numPr>
          <w:ilvl w:val="0"/>
          <w:numId w:val="16"/>
        </w:numPr>
        <w:spacing w:after="100" w:line="240" w:lineRule="auto"/>
        <w:jc w:val="both"/>
        <w:rPr>
          <w:rFonts w:asciiTheme="minorHAnsi" w:hAnsiTheme="minorHAnsi"/>
          <w:sz w:val="24"/>
          <w:szCs w:val="24"/>
        </w:rPr>
      </w:pPr>
      <w:r>
        <w:rPr>
          <w:rFonts w:asciiTheme="minorHAnsi" w:hAnsiTheme="minorHAnsi"/>
          <w:sz w:val="24"/>
          <w:szCs w:val="24"/>
        </w:rPr>
        <w:t>Specific</w:t>
      </w:r>
      <w:r w:rsidR="0066545D">
        <w:rPr>
          <w:rFonts w:asciiTheme="minorHAnsi" w:hAnsiTheme="minorHAnsi"/>
          <w:sz w:val="24"/>
          <w:szCs w:val="24"/>
        </w:rPr>
        <w:t xml:space="preserve"> vulnerable groups:</w:t>
      </w:r>
    </w:p>
    <w:p w14:paraId="5A292F58" w14:textId="6F9F5990" w:rsidR="00AD26CE" w:rsidRPr="001F7E66" w:rsidRDefault="00AD26CE" w:rsidP="00AD26CE">
      <w:pPr>
        <w:pStyle w:val="ListParagraph"/>
        <w:numPr>
          <w:ilvl w:val="0"/>
          <w:numId w:val="17"/>
        </w:numPr>
        <w:spacing w:after="100" w:line="240" w:lineRule="auto"/>
        <w:jc w:val="both"/>
        <w:rPr>
          <w:rFonts w:asciiTheme="minorHAnsi" w:hAnsiTheme="minorHAnsi"/>
          <w:sz w:val="24"/>
          <w:szCs w:val="24"/>
        </w:rPr>
      </w:pPr>
      <w:r w:rsidRPr="001F7E66">
        <w:rPr>
          <w:rFonts w:asciiTheme="minorHAnsi" w:hAnsiTheme="minorHAnsi"/>
          <w:sz w:val="24"/>
          <w:szCs w:val="24"/>
        </w:rPr>
        <w:t>Traveller women in prison</w:t>
      </w:r>
    </w:p>
    <w:p w14:paraId="4F3BE997" w14:textId="3B6E6E1E" w:rsidR="00AD26CE" w:rsidRPr="001F7E66" w:rsidRDefault="00AD26CE" w:rsidP="00AD26CE">
      <w:pPr>
        <w:pStyle w:val="ListParagraph"/>
        <w:numPr>
          <w:ilvl w:val="0"/>
          <w:numId w:val="17"/>
        </w:numPr>
        <w:spacing w:after="100" w:line="240" w:lineRule="auto"/>
        <w:jc w:val="both"/>
        <w:rPr>
          <w:rFonts w:asciiTheme="minorHAnsi" w:hAnsiTheme="minorHAnsi"/>
          <w:sz w:val="24"/>
          <w:szCs w:val="24"/>
        </w:rPr>
      </w:pPr>
      <w:r w:rsidRPr="001F7E66">
        <w:rPr>
          <w:rFonts w:asciiTheme="minorHAnsi" w:hAnsiTheme="minorHAnsi"/>
          <w:sz w:val="24"/>
          <w:szCs w:val="24"/>
        </w:rPr>
        <w:t>Transgender women in prison</w:t>
      </w:r>
    </w:p>
    <w:p w14:paraId="4452E6D6" w14:textId="466ABA97" w:rsidR="00AD26CE" w:rsidRPr="001F7E66" w:rsidRDefault="00AD26CE" w:rsidP="00AD26CE">
      <w:pPr>
        <w:pStyle w:val="ListParagraph"/>
        <w:numPr>
          <w:ilvl w:val="0"/>
          <w:numId w:val="17"/>
        </w:numPr>
        <w:spacing w:after="100" w:line="240" w:lineRule="auto"/>
        <w:jc w:val="both"/>
        <w:rPr>
          <w:rFonts w:asciiTheme="minorHAnsi" w:hAnsiTheme="minorHAnsi"/>
          <w:sz w:val="24"/>
          <w:szCs w:val="24"/>
        </w:rPr>
      </w:pPr>
      <w:r w:rsidRPr="001F7E66">
        <w:rPr>
          <w:rFonts w:asciiTheme="minorHAnsi" w:hAnsiTheme="minorHAnsi"/>
          <w:sz w:val="24"/>
          <w:szCs w:val="24"/>
        </w:rPr>
        <w:t>Pregnant women in prison</w:t>
      </w:r>
    </w:p>
    <w:p w14:paraId="16834E97" w14:textId="176FCCE4" w:rsidR="00AD26CE" w:rsidRPr="001F7E66" w:rsidRDefault="00AD26CE" w:rsidP="00AD26CE">
      <w:pPr>
        <w:pStyle w:val="ListParagraph"/>
        <w:numPr>
          <w:ilvl w:val="0"/>
          <w:numId w:val="17"/>
        </w:numPr>
        <w:spacing w:after="100" w:line="240" w:lineRule="auto"/>
        <w:jc w:val="both"/>
        <w:rPr>
          <w:rFonts w:asciiTheme="minorHAnsi" w:hAnsiTheme="minorHAnsi"/>
          <w:sz w:val="24"/>
          <w:szCs w:val="24"/>
        </w:rPr>
      </w:pPr>
      <w:r w:rsidRPr="001F7E66">
        <w:rPr>
          <w:rFonts w:asciiTheme="minorHAnsi" w:hAnsiTheme="minorHAnsi"/>
          <w:sz w:val="24"/>
          <w:szCs w:val="24"/>
        </w:rPr>
        <w:t>Mothers in prison</w:t>
      </w:r>
    </w:p>
    <w:p w14:paraId="0785147E" w14:textId="3713F343" w:rsidR="00AD26CE" w:rsidRPr="001F7E66" w:rsidRDefault="00AD26CE" w:rsidP="00AD26CE">
      <w:pPr>
        <w:pStyle w:val="ListParagraph"/>
        <w:numPr>
          <w:ilvl w:val="0"/>
          <w:numId w:val="17"/>
        </w:numPr>
        <w:spacing w:after="100" w:line="240" w:lineRule="auto"/>
        <w:jc w:val="both"/>
        <w:rPr>
          <w:rFonts w:asciiTheme="minorHAnsi" w:hAnsiTheme="minorHAnsi"/>
          <w:sz w:val="24"/>
          <w:szCs w:val="24"/>
        </w:rPr>
      </w:pPr>
      <w:r w:rsidRPr="001F7E66">
        <w:rPr>
          <w:rFonts w:asciiTheme="minorHAnsi" w:hAnsiTheme="minorHAnsi"/>
          <w:sz w:val="24"/>
          <w:szCs w:val="24"/>
        </w:rPr>
        <w:t>Sex workers in prison</w:t>
      </w:r>
    </w:p>
    <w:p w14:paraId="354D3E17" w14:textId="132EDB3D" w:rsidR="008B1D33" w:rsidRPr="001F7E66" w:rsidRDefault="0066545D" w:rsidP="008B1D33">
      <w:pPr>
        <w:pStyle w:val="ListParagraph"/>
        <w:numPr>
          <w:ilvl w:val="0"/>
          <w:numId w:val="16"/>
        </w:numPr>
        <w:spacing w:after="100" w:line="240" w:lineRule="auto"/>
        <w:jc w:val="both"/>
        <w:rPr>
          <w:rFonts w:asciiTheme="minorHAnsi" w:hAnsiTheme="minorHAnsi"/>
          <w:sz w:val="24"/>
          <w:szCs w:val="24"/>
        </w:rPr>
      </w:pPr>
      <w:r>
        <w:rPr>
          <w:rFonts w:asciiTheme="minorHAnsi" w:hAnsiTheme="minorHAnsi"/>
          <w:sz w:val="24"/>
          <w:szCs w:val="24"/>
        </w:rPr>
        <w:t>Barriers to</w:t>
      </w:r>
      <w:r w:rsidR="008B1D33" w:rsidRPr="001F7E66">
        <w:rPr>
          <w:rFonts w:asciiTheme="minorHAnsi" w:hAnsiTheme="minorHAnsi"/>
          <w:sz w:val="24"/>
          <w:szCs w:val="24"/>
        </w:rPr>
        <w:t xml:space="preserve"> CEDAW implementat</w:t>
      </w:r>
      <w:r w:rsidR="00075B71" w:rsidRPr="001F7E66">
        <w:rPr>
          <w:rFonts w:asciiTheme="minorHAnsi" w:hAnsiTheme="minorHAnsi"/>
          <w:sz w:val="24"/>
          <w:szCs w:val="24"/>
        </w:rPr>
        <w:t xml:space="preserve">ion </w:t>
      </w:r>
    </w:p>
    <w:p w14:paraId="7309F5B0" w14:textId="77777777" w:rsidR="00AD26CE" w:rsidRPr="001F7E66" w:rsidRDefault="00AD26CE" w:rsidP="00AD26CE">
      <w:pPr>
        <w:spacing w:after="100" w:line="240" w:lineRule="auto"/>
        <w:jc w:val="both"/>
        <w:rPr>
          <w:sz w:val="24"/>
          <w:szCs w:val="24"/>
        </w:rPr>
      </w:pPr>
    </w:p>
    <w:p w14:paraId="476D0E28" w14:textId="77777777" w:rsidR="00AD26CE" w:rsidRPr="001F7E66" w:rsidRDefault="00AD26CE" w:rsidP="00AD26CE">
      <w:pPr>
        <w:spacing w:after="100" w:line="240" w:lineRule="auto"/>
        <w:jc w:val="both"/>
        <w:rPr>
          <w:sz w:val="24"/>
          <w:szCs w:val="24"/>
        </w:rPr>
      </w:pPr>
    </w:p>
    <w:p w14:paraId="1C225351" w14:textId="77777777" w:rsidR="00AD1718" w:rsidRPr="001F7E66" w:rsidRDefault="00AD1718" w:rsidP="00AD26CE">
      <w:pPr>
        <w:spacing w:after="100" w:line="240" w:lineRule="auto"/>
        <w:jc w:val="both"/>
        <w:rPr>
          <w:sz w:val="24"/>
          <w:szCs w:val="24"/>
        </w:rPr>
      </w:pPr>
    </w:p>
    <w:p w14:paraId="6BE30BD6" w14:textId="77777777" w:rsidR="00AD1718" w:rsidRPr="001F7E66" w:rsidRDefault="00AD1718" w:rsidP="00AD26CE">
      <w:pPr>
        <w:spacing w:after="100" w:line="240" w:lineRule="auto"/>
        <w:jc w:val="both"/>
        <w:rPr>
          <w:sz w:val="24"/>
          <w:szCs w:val="24"/>
        </w:rPr>
      </w:pPr>
    </w:p>
    <w:p w14:paraId="004A008A" w14:textId="77777777" w:rsidR="00AD1718" w:rsidRPr="001F7E66" w:rsidRDefault="00AD1718" w:rsidP="00AD26CE">
      <w:pPr>
        <w:spacing w:after="100" w:line="240" w:lineRule="auto"/>
        <w:jc w:val="both"/>
        <w:rPr>
          <w:sz w:val="24"/>
          <w:szCs w:val="24"/>
        </w:rPr>
      </w:pPr>
    </w:p>
    <w:p w14:paraId="320361E9" w14:textId="77777777" w:rsidR="00AD1718" w:rsidRPr="001F7E66" w:rsidRDefault="00AD1718" w:rsidP="00AD26CE">
      <w:pPr>
        <w:spacing w:after="100" w:line="240" w:lineRule="auto"/>
        <w:jc w:val="both"/>
        <w:rPr>
          <w:sz w:val="24"/>
          <w:szCs w:val="24"/>
        </w:rPr>
      </w:pPr>
    </w:p>
    <w:p w14:paraId="5DCC7E94" w14:textId="77777777" w:rsidR="001F7E66" w:rsidRPr="001F7E66" w:rsidRDefault="001F7E66" w:rsidP="00AD26CE">
      <w:pPr>
        <w:spacing w:after="100" w:line="240" w:lineRule="auto"/>
        <w:jc w:val="both"/>
        <w:rPr>
          <w:sz w:val="24"/>
          <w:szCs w:val="24"/>
        </w:rPr>
      </w:pPr>
    </w:p>
    <w:p w14:paraId="7169C013" w14:textId="77777777" w:rsidR="00AD1718" w:rsidRPr="001F7E66" w:rsidRDefault="00AD1718" w:rsidP="00AD1718">
      <w:pPr>
        <w:spacing w:after="100" w:line="240" w:lineRule="auto"/>
        <w:jc w:val="both"/>
        <w:rPr>
          <w:sz w:val="24"/>
          <w:szCs w:val="24"/>
        </w:rPr>
      </w:pPr>
    </w:p>
    <w:p w14:paraId="0A3735F5" w14:textId="77777777" w:rsidR="007C6C6C" w:rsidRPr="001F7E66" w:rsidRDefault="007C6C6C" w:rsidP="00AD1718">
      <w:pPr>
        <w:spacing w:after="100" w:line="240" w:lineRule="auto"/>
        <w:jc w:val="both"/>
        <w:rPr>
          <w:b/>
          <w:sz w:val="24"/>
          <w:szCs w:val="24"/>
          <w:u w:val="single"/>
        </w:rPr>
      </w:pPr>
    </w:p>
    <w:p w14:paraId="51E56024" w14:textId="3A0214F6" w:rsidR="001F7E66" w:rsidRDefault="00AD1718" w:rsidP="00AD1718">
      <w:pPr>
        <w:spacing w:after="100" w:line="240" w:lineRule="auto"/>
        <w:jc w:val="both"/>
        <w:rPr>
          <w:b/>
          <w:sz w:val="28"/>
          <w:szCs w:val="28"/>
          <w:u w:val="single"/>
        </w:rPr>
      </w:pPr>
      <w:r w:rsidRPr="001F7E66">
        <w:rPr>
          <w:b/>
          <w:sz w:val="28"/>
          <w:szCs w:val="28"/>
          <w:u w:val="single"/>
        </w:rPr>
        <w:lastRenderedPageBreak/>
        <w:t xml:space="preserve">Issue 1: </w:t>
      </w:r>
      <w:r w:rsidR="000661B2">
        <w:rPr>
          <w:b/>
          <w:sz w:val="28"/>
          <w:szCs w:val="28"/>
          <w:u w:val="single"/>
        </w:rPr>
        <w:t>High Numbers of Women Committed to Prison</w:t>
      </w:r>
    </w:p>
    <w:p w14:paraId="5F717DE1" w14:textId="0E7856FD" w:rsidR="000661B2" w:rsidRDefault="000661B2" w:rsidP="000661B2">
      <w:pPr>
        <w:spacing w:after="100" w:line="240" w:lineRule="auto"/>
        <w:jc w:val="both"/>
        <w:rPr>
          <w:sz w:val="24"/>
          <w:szCs w:val="24"/>
        </w:rPr>
      </w:pPr>
      <w:r w:rsidRPr="001F7E66">
        <w:rPr>
          <w:sz w:val="24"/>
          <w:szCs w:val="24"/>
        </w:rPr>
        <w:t>The continuing increase in the number of women committed to prison is a</w:t>
      </w:r>
      <w:r>
        <w:rPr>
          <w:sz w:val="24"/>
          <w:szCs w:val="24"/>
        </w:rPr>
        <w:t xml:space="preserve"> cause of grave concern to IPRT.</w:t>
      </w:r>
      <w:r w:rsidRPr="001F7E66">
        <w:rPr>
          <w:sz w:val="24"/>
          <w:szCs w:val="24"/>
        </w:rPr>
        <w:t xml:space="preserve"> The </w:t>
      </w:r>
      <w:r w:rsidRPr="000661B2">
        <w:rPr>
          <w:sz w:val="24"/>
          <w:szCs w:val="24"/>
        </w:rPr>
        <w:t xml:space="preserve">number of women committed to prison more than doubled between 2007 and 2014, rising by </w:t>
      </w:r>
      <w:r w:rsidRPr="000661B2">
        <w:rPr>
          <w:sz w:val="24"/>
          <w:szCs w:val="24"/>
          <w:u w:val="single"/>
        </w:rPr>
        <w:t>57%</w:t>
      </w:r>
      <w:r w:rsidRPr="001F7E66">
        <w:rPr>
          <w:sz w:val="24"/>
          <w:szCs w:val="24"/>
        </w:rPr>
        <w:t xml:space="preserve"> from 1,155 in 2007 to 2,685 in 2014. </w:t>
      </w:r>
      <w:r>
        <w:rPr>
          <w:sz w:val="24"/>
          <w:szCs w:val="24"/>
        </w:rPr>
        <w:t>I</w:t>
      </w:r>
      <w:r w:rsidRPr="001F7E66">
        <w:rPr>
          <w:sz w:val="24"/>
          <w:szCs w:val="24"/>
        </w:rPr>
        <w:t>n 2015, 2,918 women were committed to prison, compared to 2,685 in 2014.</w:t>
      </w:r>
      <w:r w:rsidRPr="001F7E66">
        <w:rPr>
          <w:rStyle w:val="FootnoteReference"/>
          <w:sz w:val="24"/>
          <w:szCs w:val="24"/>
        </w:rPr>
        <w:footnoteReference w:id="5"/>
      </w:r>
      <w:r w:rsidRPr="001F7E66">
        <w:rPr>
          <w:sz w:val="24"/>
          <w:szCs w:val="24"/>
        </w:rPr>
        <w:t xml:space="preserve"> To put this in a longer term context, in 1990, there were only 155 committals of women to prison in Ireland</w:t>
      </w:r>
      <w:r>
        <w:rPr>
          <w:sz w:val="24"/>
          <w:szCs w:val="24"/>
        </w:rPr>
        <w:t xml:space="preserve"> but 2,918 in 2015.</w:t>
      </w:r>
      <w:r w:rsidRPr="001F7E66">
        <w:rPr>
          <w:rStyle w:val="FootnoteReference"/>
          <w:sz w:val="24"/>
          <w:szCs w:val="24"/>
        </w:rPr>
        <w:footnoteReference w:id="6"/>
      </w:r>
      <w:r w:rsidRPr="001F7E66">
        <w:rPr>
          <w:sz w:val="24"/>
          <w:szCs w:val="24"/>
        </w:rPr>
        <w:t xml:space="preserve"> </w:t>
      </w:r>
    </w:p>
    <w:p w14:paraId="1FF7079E" w14:textId="31409DFC" w:rsidR="000661B2" w:rsidRDefault="000661B2" w:rsidP="000661B2">
      <w:pPr>
        <w:spacing w:after="100" w:line="240" w:lineRule="auto"/>
        <w:jc w:val="both"/>
        <w:rPr>
          <w:sz w:val="24"/>
          <w:szCs w:val="24"/>
        </w:rPr>
      </w:pPr>
      <w:r w:rsidRPr="001F7E66">
        <w:rPr>
          <w:sz w:val="24"/>
          <w:szCs w:val="24"/>
        </w:rPr>
        <w:t xml:space="preserve">Comparatively, </w:t>
      </w:r>
      <w:r w:rsidRPr="000661B2">
        <w:rPr>
          <w:sz w:val="24"/>
          <w:szCs w:val="24"/>
        </w:rPr>
        <w:t xml:space="preserve">the number of male committals increased overall by </w:t>
      </w:r>
      <w:r w:rsidRPr="000661B2">
        <w:rPr>
          <w:sz w:val="24"/>
          <w:szCs w:val="24"/>
          <w:u w:val="single"/>
        </w:rPr>
        <w:t>20%</w:t>
      </w:r>
      <w:r w:rsidRPr="000661B2">
        <w:rPr>
          <w:sz w:val="24"/>
          <w:szCs w:val="24"/>
        </w:rPr>
        <w:t xml:space="preserve"> between 2007 and 2014, </w:t>
      </w:r>
      <w:r w:rsidRPr="001F7E66">
        <w:rPr>
          <w:sz w:val="24"/>
          <w:szCs w:val="24"/>
        </w:rPr>
        <w:t xml:space="preserve">and it has </w:t>
      </w:r>
      <w:r>
        <w:rPr>
          <w:sz w:val="24"/>
          <w:szCs w:val="24"/>
        </w:rPr>
        <w:t xml:space="preserve">been </w:t>
      </w:r>
      <w:r w:rsidRPr="001F7E66">
        <w:rPr>
          <w:sz w:val="24"/>
          <w:szCs w:val="24"/>
        </w:rPr>
        <w:t>r</w:t>
      </w:r>
      <w:r>
        <w:rPr>
          <w:sz w:val="24"/>
          <w:szCs w:val="24"/>
        </w:rPr>
        <w:t>educing</w:t>
      </w:r>
      <w:r w:rsidRPr="001F7E66">
        <w:rPr>
          <w:sz w:val="24"/>
          <w:szCs w:val="24"/>
        </w:rPr>
        <w:t xml:space="preserve"> since 2011 (from a peak of 12,057 in 2010 to 10,723 in 2014).</w:t>
      </w:r>
      <w:r w:rsidRPr="001F7E66">
        <w:rPr>
          <w:rStyle w:val="FootnoteReference"/>
          <w:sz w:val="24"/>
          <w:szCs w:val="24"/>
        </w:rPr>
        <w:footnoteReference w:id="7"/>
      </w:r>
      <w:r w:rsidRPr="001F7E66">
        <w:rPr>
          <w:sz w:val="24"/>
          <w:szCs w:val="24"/>
        </w:rPr>
        <w:t xml:space="preserve"> The fact that the rate of female prison committals has risen </w:t>
      </w:r>
      <w:r w:rsidRPr="001F7E66">
        <w:rPr>
          <w:b/>
          <w:sz w:val="24"/>
          <w:szCs w:val="24"/>
        </w:rPr>
        <w:t xml:space="preserve">more rapidly than the rate for males </w:t>
      </w:r>
      <w:r w:rsidRPr="001F7E66">
        <w:rPr>
          <w:sz w:val="24"/>
          <w:szCs w:val="24"/>
        </w:rPr>
        <w:t>is a substantial cause for concern.</w:t>
      </w:r>
    </w:p>
    <w:p w14:paraId="62EBFAEF" w14:textId="77777777" w:rsidR="000661B2" w:rsidRPr="001F7E66" w:rsidRDefault="000661B2" w:rsidP="000661B2">
      <w:pPr>
        <w:spacing w:after="100" w:line="240" w:lineRule="auto"/>
        <w:jc w:val="both"/>
        <w:rPr>
          <w:sz w:val="24"/>
          <w:szCs w:val="24"/>
        </w:rPr>
      </w:pPr>
    </w:p>
    <w:p w14:paraId="1206880E" w14:textId="60A61587" w:rsidR="000661B2" w:rsidRPr="001F7E66" w:rsidRDefault="000661B2" w:rsidP="000661B2">
      <w:pPr>
        <w:spacing w:after="100" w:line="240" w:lineRule="auto"/>
        <w:jc w:val="both"/>
        <w:rPr>
          <w:b/>
          <w:sz w:val="24"/>
          <w:szCs w:val="24"/>
        </w:rPr>
      </w:pPr>
      <w:r w:rsidRPr="001F7E66">
        <w:rPr>
          <w:b/>
          <w:sz w:val="24"/>
          <w:szCs w:val="24"/>
        </w:rPr>
        <w:t xml:space="preserve">Table 2: Number </w:t>
      </w:r>
      <w:r>
        <w:rPr>
          <w:b/>
          <w:sz w:val="24"/>
          <w:szCs w:val="24"/>
        </w:rPr>
        <w:t>of women imprisoned, 2007 - 2014</w:t>
      </w:r>
    </w:p>
    <w:tbl>
      <w:tblPr>
        <w:tblStyle w:val="TableGrid"/>
        <w:tblW w:w="8908" w:type="dxa"/>
        <w:tblInd w:w="108" w:type="dxa"/>
        <w:tblLook w:val="04A0" w:firstRow="1" w:lastRow="0" w:firstColumn="1" w:lastColumn="0" w:noHBand="0" w:noVBand="1"/>
      </w:tblPr>
      <w:tblGrid>
        <w:gridCol w:w="1420"/>
        <w:gridCol w:w="814"/>
        <w:gridCol w:w="814"/>
        <w:gridCol w:w="994"/>
        <w:gridCol w:w="968"/>
        <w:gridCol w:w="994"/>
        <w:gridCol w:w="1055"/>
        <w:gridCol w:w="935"/>
        <w:gridCol w:w="914"/>
      </w:tblGrid>
      <w:tr w:rsidR="000661B2" w:rsidRPr="001F7E66" w14:paraId="0374E668" w14:textId="77777777" w:rsidTr="00D572BB">
        <w:trPr>
          <w:trHeight w:val="258"/>
        </w:trPr>
        <w:tc>
          <w:tcPr>
            <w:tcW w:w="1420" w:type="dxa"/>
          </w:tcPr>
          <w:p w14:paraId="1F9E43C6" w14:textId="77777777" w:rsidR="000661B2" w:rsidRPr="001F7E66" w:rsidRDefault="000661B2" w:rsidP="00D572BB">
            <w:pPr>
              <w:jc w:val="center"/>
              <w:rPr>
                <w:rFonts w:asciiTheme="minorHAnsi" w:eastAsia="Calibri" w:hAnsiTheme="minorHAnsi" w:cs="Arial"/>
                <w:b/>
                <w:sz w:val="24"/>
                <w:szCs w:val="24"/>
                <w:lang w:val="en-GB" w:eastAsia="en-GB"/>
              </w:rPr>
            </w:pPr>
          </w:p>
        </w:tc>
        <w:tc>
          <w:tcPr>
            <w:tcW w:w="814" w:type="dxa"/>
          </w:tcPr>
          <w:p w14:paraId="159ACFBC" w14:textId="77777777" w:rsidR="000661B2" w:rsidRPr="001F7E66" w:rsidRDefault="000661B2" w:rsidP="00D572BB">
            <w:pPr>
              <w:jc w:val="both"/>
              <w:rPr>
                <w:rFonts w:asciiTheme="minorHAnsi" w:eastAsia="Calibri" w:hAnsiTheme="minorHAnsi" w:cs="Arial"/>
                <w:b/>
                <w:sz w:val="24"/>
                <w:szCs w:val="24"/>
                <w:lang w:val="en-GB" w:eastAsia="en-GB"/>
              </w:rPr>
            </w:pPr>
            <w:r w:rsidRPr="001F7E66">
              <w:rPr>
                <w:rFonts w:asciiTheme="minorHAnsi" w:eastAsia="Calibri" w:hAnsiTheme="minorHAnsi" w:cs="Arial"/>
                <w:b/>
                <w:sz w:val="24"/>
                <w:szCs w:val="24"/>
                <w:lang w:val="en-GB" w:eastAsia="en-GB"/>
              </w:rPr>
              <w:t>2007</w:t>
            </w:r>
          </w:p>
        </w:tc>
        <w:tc>
          <w:tcPr>
            <w:tcW w:w="814" w:type="dxa"/>
          </w:tcPr>
          <w:p w14:paraId="6F2019BD" w14:textId="77777777" w:rsidR="000661B2" w:rsidRPr="001F7E66" w:rsidRDefault="000661B2" w:rsidP="00D572BB">
            <w:pPr>
              <w:jc w:val="both"/>
              <w:rPr>
                <w:rFonts w:asciiTheme="minorHAnsi" w:eastAsia="Calibri" w:hAnsiTheme="minorHAnsi" w:cs="Arial"/>
                <w:b/>
                <w:sz w:val="24"/>
                <w:szCs w:val="24"/>
                <w:lang w:val="en-GB" w:eastAsia="en-GB"/>
              </w:rPr>
            </w:pPr>
            <w:r w:rsidRPr="001F7E66">
              <w:rPr>
                <w:rFonts w:asciiTheme="minorHAnsi" w:eastAsia="Calibri" w:hAnsiTheme="minorHAnsi" w:cs="Arial"/>
                <w:b/>
                <w:sz w:val="24"/>
                <w:szCs w:val="24"/>
                <w:lang w:val="en-GB" w:eastAsia="en-GB"/>
              </w:rPr>
              <w:t>2008</w:t>
            </w:r>
          </w:p>
        </w:tc>
        <w:tc>
          <w:tcPr>
            <w:tcW w:w="994" w:type="dxa"/>
          </w:tcPr>
          <w:p w14:paraId="3D885B93" w14:textId="77777777" w:rsidR="000661B2" w:rsidRPr="001F7E66" w:rsidRDefault="000661B2" w:rsidP="00D572BB">
            <w:pPr>
              <w:jc w:val="both"/>
              <w:rPr>
                <w:rFonts w:asciiTheme="minorHAnsi" w:eastAsia="Calibri" w:hAnsiTheme="minorHAnsi" w:cs="Arial"/>
                <w:b/>
                <w:sz w:val="24"/>
                <w:szCs w:val="24"/>
                <w:lang w:val="en-GB" w:eastAsia="en-GB"/>
              </w:rPr>
            </w:pPr>
            <w:r w:rsidRPr="001F7E66">
              <w:rPr>
                <w:rFonts w:asciiTheme="minorHAnsi" w:eastAsia="Calibri" w:hAnsiTheme="minorHAnsi" w:cs="Arial"/>
                <w:b/>
                <w:sz w:val="24"/>
                <w:szCs w:val="24"/>
                <w:lang w:val="en-GB" w:eastAsia="en-GB"/>
              </w:rPr>
              <w:t>2009</w:t>
            </w:r>
          </w:p>
        </w:tc>
        <w:tc>
          <w:tcPr>
            <w:tcW w:w="968" w:type="dxa"/>
          </w:tcPr>
          <w:p w14:paraId="332DF03E" w14:textId="77777777" w:rsidR="000661B2" w:rsidRPr="001F7E66" w:rsidRDefault="000661B2" w:rsidP="00D572BB">
            <w:pPr>
              <w:jc w:val="both"/>
              <w:rPr>
                <w:rFonts w:asciiTheme="minorHAnsi" w:eastAsia="Calibri" w:hAnsiTheme="minorHAnsi" w:cs="Arial"/>
                <w:b/>
                <w:sz w:val="24"/>
                <w:szCs w:val="24"/>
                <w:lang w:val="en-GB" w:eastAsia="en-GB"/>
              </w:rPr>
            </w:pPr>
            <w:r w:rsidRPr="001F7E66">
              <w:rPr>
                <w:rFonts w:asciiTheme="minorHAnsi" w:eastAsia="Calibri" w:hAnsiTheme="minorHAnsi" w:cs="Arial"/>
                <w:b/>
                <w:sz w:val="24"/>
                <w:szCs w:val="24"/>
                <w:lang w:val="en-GB" w:eastAsia="en-GB"/>
              </w:rPr>
              <w:t>2010</w:t>
            </w:r>
          </w:p>
        </w:tc>
        <w:tc>
          <w:tcPr>
            <w:tcW w:w="994" w:type="dxa"/>
          </w:tcPr>
          <w:p w14:paraId="04664C33" w14:textId="77777777" w:rsidR="000661B2" w:rsidRPr="001F7E66" w:rsidRDefault="000661B2" w:rsidP="00D572BB">
            <w:pPr>
              <w:jc w:val="both"/>
              <w:rPr>
                <w:rFonts w:asciiTheme="minorHAnsi" w:eastAsia="Calibri" w:hAnsiTheme="minorHAnsi" w:cs="Arial"/>
                <w:b/>
                <w:sz w:val="24"/>
                <w:szCs w:val="24"/>
                <w:lang w:val="en-GB" w:eastAsia="en-GB"/>
              </w:rPr>
            </w:pPr>
            <w:r w:rsidRPr="001F7E66">
              <w:rPr>
                <w:rFonts w:asciiTheme="minorHAnsi" w:eastAsia="Calibri" w:hAnsiTheme="minorHAnsi" w:cs="Arial"/>
                <w:b/>
                <w:sz w:val="24"/>
                <w:szCs w:val="24"/>
                <w:lang w:val="en-GB" w:eastAsia="en-GB"/>
              </w:rPr>
              <w:t>2011</w:t>
            </w:r>
          </w:p>
        </w:tc>
        <w:tc>
          <w:tcPr>
            <w:tcW w:w="1055" w:type="dxa"/>
          </w:tcPr>
          <w:p w14:paraId="6385F38D" w14:textId="77777777" w:rsidR="000661B2" w:rsidRPr="001F7E66" w:rsidRDefault="000661B2" w:rsidP="00D572BB">
            <w:pPr>
              <w:jc w:val="both"/>
              <w:rPr>
                <w:rFonts w:asciiTheme="minorHAnsi" w:eastAsia="Calibri" w:hAnsiTheme="minorHAnsi" w:cs="Arial"/>
                <w:b/>
                <w:sz w:val="24"/>
                <w:szCs w:val="24"/>
                <w:lang w:val="en-GB" w:eastAsia="en-GB"/>
              </w:rPr>
            </w:pPr>
            <w:r w:rsidRPr="001F7E66">
              <w:rPr>
                <w:rFonts w:asciiTheme="minorHAnsi" w:eastAsia="Calibri" w:hAnsiTheme="minorHAnsi" w:cs="Arial"/>
                <w:b/>
                <w:sz w:val="24"/>
                <w:szCs w:val="24"/>
                <w:lang w:val="en-GB" w:eastAsia="en-GB"/>
              </w:rPr>
              <w:t>2012</w:t>
            </w:r>
          </w:p>
        </w:tc>
        <w:tc>
          <w:tcPr>
            <w:tcW w:w="935" w:type="dxa"/>
          </w:tcPr>
          <w:p w14:paraId="24DD5CD0" w14:textId="77777777" w:rsidR="000661B2" w:rsidRPr="001F7E66" w:rsidRDefault="000661B2" w:rsidP="00D572BB">
            <w:pPr>
              <w:jc w:val="both"/>
              <w:rPr>
                <w:rFonts w:asciiTheme="minorHAnsi" w:eastAsia="Calibri" w:hAnsiTheme="minorHAnsi" w:cs="Arial"/>
                <w:b/>
                <w:sz w:val="24"/>
                <w:szCs w:val="24"/>
                <w:lang w:val="en-GB" w:eastAsia="en-GB"/>
              </w:rPr>
            </w:pPr>
            <w:r w:rsidRPr="001F7E66">
              <w:rPr>
                <w:rFonts w:asciiTheme="minorHAnsi" w:eastAsia="Calibri" w:hAnsiTheme="minorHAnsi" w:cs="Arial"/>
                <w:b/>
                <w:sz w:val="24"/>
                <w:szCs w:val="24"/>
                <w:lang w:val="en-GB" w:eastAsia="en-GB"/>
              </w:rPr>
              <w:t>2013</w:t>
            </w:r>
          </w:p>
        </w:tc>
        <w:tc>
          <w:tcPr>
            <w:tcW w:w="914" w:type="dxa"/>
          </w:tcPr>
          <w:p w14:paraId="5B3E6350" w14:textId="77777777" w:rsidR="000661B2" w:rsidRPr="001F7E66" w:rsidRDefault="000661B2" w:rsidP="00D572BB">
            <w:pPr>
              <w:jc w:val="both"/>
              <w:rPr>
                <w:rFonts w:asciiTheme="minorHAnsi" w:eastAsia="Calibri" w:hAnsiTheme="minorHAnsi" w:cs="Arial"/>
                <w:b/>
                <w:sz w:val="24"/>
                <w:szCs w:val="24"/>
                <w:lang w:val="en-GB" w:eastAsia="en-GB"/>
              </w:rPr>
            </w:pPr>
            <w:r w:rsidRPr="001F7E66">
              <w:rPr>
                <w:rFonts w:asciiTheme="minorHAnsi" w:eastAsia="Calibri" w:hAnsiTheme="minorHAnsi" w:cs="Arial"/>
                <w:b/>
                <w:sz w:val="24"/>
                <w:szCs w:val="24"/>
                <w:lang w:val="en-GB" w:eastAsia="en-GB"/>
              </w:rPr>
              <w:t>2014</w:t>
            </w:r>
          </w:p>
        </w:tc>
      </w:tr>
      <w:tr w:rsidR="000661B2" w:rsidRPr="001F7E66" w14:paraId="1BBCC00F" w14:textId="77777777" w:rsidTr="00D572BB">
        <w:trPr>
          <w:trHeight w:val="258"/>
        </w:trPr>
        <w:tc>
          <w:tcPr>
            <w:tcW w:w="1420" w:type="dxa"/>
          </w:tcPr>
          <w:p w14:paraId="36B7DE4D" w14:textId="77777777" w:rsidR="000661B2" w:rsidRPr="001F7E66" w:rsidRDefault="000661B2" w:rsidP="00D572BB">
            <w:pPr>
              <w:jc w:val="both"/>
              <w:rPr>
                <w:rFonts w:asciiTheme="minorHAnsi" w:eastAsia="Calibri" w:hAnsiTheme="minorHAnsi" w:cs="Arial"/>
                <w:sz w:val="24"/>
                <w:szCs w:val="24"/>
                <w:lang w:val="en-GB" w:eastAsia="en-GB"/>
              </w:rPr>
            </w:pPr>
            <w:r w:rsidRPr="001F7E66">
              <w:rPr>
                <w:rFonts w:asciiTheme="minorHAnsi" w:eastAsia="Calibri" w:hAnsiTheme="minorHAnsi" w:cs="Arial"/>
                <w:sz w:val="24"/>
                <w:szCs w:val="24"/>
                <w:lang w:val="en-GB" w:eastAsia="en-GB"/>
              </w:rPr>
              <w:t xml:space="preserve">No. </w:t>
            </w:r>
          </w:p>
        </w:tc>
        <w:tc>
          <w:tcPr>
            <w:tcW w:w="814" w:type="dxa"/>
          </w:tcPr>
          <w:p w14:paraId="46D8047E" w14:textId="77777777" w:rsidR="000661B2" w:rsidRPr="001F7E66" w:rsidRDefault="000661B2" w:rsidP="00D572BB">
            <w:pPr>
              <w:jc w:val="both"/>
              <w:rPr>
                <w:rFonts w:asciiTheme="minorHAnsi" w:eastAsia="Calibri" w:hAnsiTheme="minorHAnsi" w:cs="Arial"/>
                <w:sz w:val="24"/>
                <w:szCs w:val="24"/>
                <w:lang w:val="en-GB" w:eastAsia="en-GB"/>
              </w:rPr>
            </w:pPr>
            <w:r w:rsidRPr="001F7E66">
              <w:rPr>
                <w:rFonts w:asciiTheme="minorHAnsi" w:eastAsia="Calibri" w:hAnsiTheme="minorHAnsi" w:cs="Arial"/>
                <w:sz w:val="24"/>
                <w:szCs w:val="24"/>
                <w:lang w:val="en-IE" w:eastAsia="en-GB"/>
              </w:rPr>
              <w:t>1,155</w:t>
            </w:r>
          </w:p>
        </w:tc>
        <w:tc>
          <w:tcPr>
            <w:tcW w:w="814" w:type="dxa"/>
          </w:tcPr>
          <w:p w14:paraId="68312B6A" w14:textId="77777777" w:rsidR="000661B2" w:rsidRPr="001F7E66" w:rsidRDefault="000661B2" w:rsidP="00D572BB">
            <w:pPr>
              <w:jc w:val="both"/>
              <w:rPr>
                <w:rFonts w:asciiTheme="minorHAnsi" w:eastAsia="Calibri" w:hAnsiTheme="minorHAnsi" w:cs="Arial"/>
                <w:sz w:val="24"/>
                <w:szCs w:val="24"/>
                <w:lang w:val="en-GB" w:eastAsia="en-GB"/>
              </w:rPr>
            </w:pPr>
            <w:r w:rsidRPr="001F7E66">
              <w:rPr>
                <w:rFonts w:asciiTheme="minorHAnsi" w:eastAsia="Calibri" w:hAnsiTheme="minorHAnsi" w:cs="Arial"/>
                <w:sz w:val="24"/>
                <w:szCs w:val="24"/>
                <w:lang w:val="en-IE" w:eastAsia="en-GB"/>
              </w:rPr>
              <w:t>1,225</w:t>
            </w:r>
          </w:p>
        </w:tc>
        <w:tc>
          <w:tcPr>
            <w:tcW w:w="994" w:type="dxa"/>
          </w:tcPr>
          <w:p w14:paraId="415B72F3" w14:textId="77777777" w:rsidR="000661B2" w:rsidRPr="001F7E66" w:rsidRDefault="000661B2" w:rsidP="00D572BB">
            <w:pPr>
              <w:jc w:val="both"/>
              <w:rPr>
                <w:rFonts w:asciiTheme="minorHAnsi" w:eastAsia="Calibri" w:hAnsiTheme="minorHAnsi" w:cs="Arial"/>
                <w:sz w:val="24"/>
                <w:szCs w:val="24"/>
                <w:lang w:val="en-GB" w:eastAsia="en-GB"/>
              </w:rPr>
            </w:pPr>
            <w:r w:rsidRPr="001F7E66">
              <w:rPr>
                <w:rFonts w:asciiTheme="minorHAnsi" w:eastAsia="Calibri" w:hAnsiTheme="minorHAnsi" w:cs="Arial"/>
                <w:sz w:val="24"/>
                <w:szCs w:val="24"/>
                <w:lang w:val="en-GB" w:eastAsia="en-GB"/>
              </w:rPr>
              <w:t>1,459</w:t>
            </w:r>
          </w:p>
        </w:tc>
        <w:tc>
          <w:tcPr>
            <w:tcW w:w="968" w:type="dxa"/>
          </w:tcPr>
          <w:p w14:paraId="6C55AE44" w14:textId="77777777" w:rsidR="000661B2" w:rsidRPr="001F7E66" w:rsidRDefault="000661B2" w:rsidP="00D572BB">
            <w:pPr>
              <w:jc w:val="both"/>
              <w:rPr>
                <w:rFonts w:asciiTheme="minorHAnsi" w:eastAsia="Calibri" w:hAnsiTheme="minorHAnsi" w:cs="Arial"/>
                <w:sz w:val="24"/>
                <w:szCs w:val="24"/>
                <w:lang w:val="en-GB" w:eastAsia="en-GB"/>
              </w:rPr>
            </w:pPr>
            <w:r w:rsidRPr="001F7E66">
              <w:rPr>
                <w:rFonts w:asciiTheme="minorHAnsi" w:eastAsia="Calibri" w:hAnsiTheme="minorHAnsi" w:cs="Arial"/>
                <w:sz w:val="24"/>
                <w:szCs w:val="24"/>
                <w:lang w:val="en-GB" w:eastAsia="en-GB"/>
              </w:rPr>
              <w:t>1,701</w:t>
            </w:r>
          </w:p>
        </w:tc>
        <w:tc>
          <w:tcPr>
            <w:tcW w:w="994" w:type="dxa"/>
          </w:tcPr>
          <w:p w14:paraId="2E0B4650" w14:textId="77777777" w:rsidR="000661B2" w:rsidRPr="001F7E66" w:rsidRDefault="000661B2" w:rsidP="00D572BB">
            <w:pPr>
              <w:jc w:val="both"/>
              <w:rPr>
                <w:rFonts w:asciiTheme="minorHAnsi" w:eastAsia="Calibri" w:hAnsiTheme="minorHAnsi" w:cs="Arial"/>
                <w:sz w:val="24"/>
                <w:szCs w:val="24"/>
                <w:lang w:val="en-GB" w:eastAsia="en-GB"/>
              </w:rPr>
            </w:pPr>
            <w:r w:rsidRPr="001F7E66">
              <w:rPr>
                <w:rFonts w:asciiTheme="minorHAnsi" w:eastAsia="Calibri" w:hAnsiTheme="minorHAnsi" w:cs="Arial"/>
                <w:sz w:val="24"/>
                <w:szCs w:val="24"/>
                <w:lang w:val="en-GB" w:eastAsia="en-GB"/>
              </w:rPr>
              <w:t>1,902</w:t>
            </w:r>
          </w:p>
        </w:tc>
        <w:tc>
          <w:tcPr>
            <w:tcW w:w="1055" w:type="dxa"/>
          </w:tcPr>
          <w:p w14:paraId="01953C37" w14:textId="77777777" w:rsidR="000661B2" w:rsidRPr="001F7E66" w:rsidRDefault="000661B2" w:rsidP="00D572BB">
            <w:pPr>
              <w:jc w:val="both"/>
              <w:rPr>
                <w:rFonts w:asciiTheme="minorHAnsi" w:eastAsia="Calibri" w:hAnsiTheme="minorHAnsi" w:cs="Arial"/>
                <w:sz w:val="24"/>
                <w:szCs w:val="24"/>
                <w:lang w:val="en-GB" w:eastAsia="en-GB"/>
              </w:rPr>
            </w:pPr>
            <w:r w:rsidRPr="001F7E66">
              <w:rPr>
                <w:rFonts w:asciiTheme="minorHAnsi" w:eastAsia="Calibri" w:hAnsiTheme="minorHAnsi" w:cs="Arial"/>
                <w:sz w:val="24"/>
                <w:szCs w:val="24"/>
                <w:lang w:val="en-GB" w:eastAsia="en-GB"/>
              </w:rPr>
              <w:t>2,151</w:t>
            </w:r>
          </w:p>
        </w:tc>
        <w:tc>
          <w:tcPr>
            <w:tcW w:w="935" w:type="dxa"/>
          </w:tcPr>
          <w:p w14:paraId="5533B297" w14:textId="77777777" w:rsidR="000661B2" w:rsidRPr="001F7E66" w:rsidRDefault="000661B2" w:rsidP="00D572BB">
            <w:pPr>
              <w:jc w:val="both"/>
              <w:rPr>
                <w:rFonts w:asciiTheme="minorHAnsi" w:eastAsia="Calibri" w:hAnsiTheme="minorHAnsi" w:cs="Arial"/>
                <w:sz w:val="24"/>
                <w:szCs w:val="24"/>
                <w:lang w:val="en-GB" w:eastAsia="en-GB"/>
              </w:rPr>
            </w:pPr>
            <w:r w:rsidRPr="001F7E66">
              <w:rPr>
                <w:rFonts w:asciiTheme="minorHAnsi" w:eastAsia="Calibri" w:hAnsiTheme="minorHAnsi" w:cs="Arial"/>
                <w:sz w:val="24"/>
                <w:szCs w:val="24"/>
                <w:lang w:val="en-IE" w:eastAsia="en-GB"/>
              </w:rPr>
              <w:t>2,326</w:t>
            </w:r>
          </w:p>
        </w:tc>
        <w:tc>
          <w:tcPr>
            <w:tcW w:w="914" w:type="dxa"/>
          </w:tcPr>
          <w:p w14:paraId="3B5735EE" w14:textId="77777777" w:rsidR="000661B2" w:rsidRPr="001F7E66" w:rsidRDefault="000661B2" w:rsidP="00D572BB">
            <w:pPr>
              <w:jc w:val="both"/>
              <w:rPr>
                <w:rFonts w:asciiTheme="minorHAnsi" w:eastAsia="Calibri" w:hAnsiTheme="minorHAnsi" w:cs="Arial"/>
                <w:sz w:val="24"/>
                <w:szCs w:val="24"/>
                <w:lang w:val="en-GB" w:eastAsia="en-GB"/>
              </w:rPr>
            </w:pPr>
            <w:r w:rsidRPr="001F7E66">
              <w:rPr>
                <w:rFonts w:asciiTheme="minorHAnsi" w:eastAsia="Calibri" w:hAnsiTheme="minorHAnsi" w:cs="Arial"/>
                <w:sz w:val="24"/>
                <w:szCs w:val="24"/>
                <w:lang w:val="en-IE" w:eastAsia="en-GB"/>
              </w:rPr>
              <w:t>2,685</w:t>
            </w:r>
          </w:p>
        </w:tc>
      </w:tr>
      <w:tr w:rsidR="000661B2" w:rsidRPr="001F7E66" w14:paraId="4192CBC5" w14:textId="77777777" w:rsidTr="00D572BB">
        <w:trPr>
          <w:trHeight w:val="242"/>
        </w:trPr>
        <w:tc>
          <w:tcPr>
            <w:tcW w:w="1420" w:type="dxa"/>
          </w:tcPr>
          <w:p w14:paraId="3320B5B3" w14:textId="77777777" w:rsidR="000661B2" w:rsidRPr="001F7E66" w:rsidRDefault="000661B2" w:rsidP="00D572BB">
            <w:pPr>
              <w:jc w:val="both"/>
              <w:rPr>
                <w:rFonts w:asciiTheme="minorHAnsi" w:eastAsia="Calibri" w:hAnsiTheme="minorHAnsi" w:cs="Arial"/>
                <w:sz w:val="24"/>
                <w:szCs w:val="24"/>
                <w:lang w:val="en-GB" w:eastAsia="en-GB"/>
              </w:rPr>
            </w:pPr>
            <w:r w:rsidRPr="001F7E66">
              <w:rPr>
                <w:rFonts w:asciiTheme="minorHAnsi" w:eastAsia="Calibri" w:hAnsiTheme="minorHAnsi" w:cs="Arial"/>
                <w:sz w:val="24"/>
                <w:szCs w:val="24"/>
                <w:lang w:val="en-GB" w:eastAsia="en-GB"/>
              </w:rPr>
              <w:t>% of prison committals</w:t>
            </w:r>
          </w:p>
        </w:tc>
        <w:tc>
          <w:tcPr>
            <w:tcW w:w="814" w:type="dxa"/>
          </w:tcPr>
          <w:p w14:paraId="08E75AFD" w14:textId="77777777" w:rsidR="000661B2" w:rsidRPr="001F7E66" w:rsidRDefault="000661B2" w:rsidP="00D572BB">
            <w:pPr>
              <w:jc w:val="both"/>
              <w:rPr>
                <w:rFonts w:asciiTheme="minorHAnsi" w:eastAsia="Calibri" w:hAnsiTheme="minorHAnsi" w:cs="Arial"/>
                <w:sz w:val="24"/>
                <w:szCs w:val="24"/>
                <w:lang w:val="en-GB" w:eastAsia="en-GB"/>
              </w:rPr>
            </w:pPr>
            <w:r w:rsidRPr="001F7E66">
              <w:rPr>
                <w:rFonts w:asciiTheme="minorHAnsi" w:eastAsia="Calibri" w:hAnsiTheme="minorHAnsi" w:cs="Arial"/>
                <w:sz w:val="24"/>
                <w:szCs w:val="24"/>
                <w:lang w:val="en-GB" w:eastAsia="en-GB"/>
              </w:rPr>
              <w:t>11.9%</w:t>
            </w:r>
          </w:p>
        </w:tc>
        <w:tc>
          <w:tcPr>
            <w:tcW w:w="814" w:type="dxa"/>
          </w:tcPr>
          <w:p w14:paraId="2E9A4FE9" w14:textId="77777777" w:rsidR="000661B2" w:rsidRPr="001F7E66" w:rsidRDefault="000661B2" w:rsidP="00D572BB">
            <w:pPr>
              <w:jc w:val="both"/>
              <w:rPr>
                <w:rFonts w:asciiTheme="minorHAnsi" w:eastAsia="Calibri" w:hAnsiTheme="minorHAnsi" w:cs="Arial"/>
                <w:sz w:val="24"/>
                <w:szCs w:val="24"/>
                <w:lang w:val="en-GB" w:eastAsia="en-GB"/>
              </w:rPr>
            </w:pPr>
            <w:r w:rsidRPr="001F7E66">
              <w:rPr>
                <w:rFonts w:asciiTheme="minorHAnsi" w:eastAsia="Calibri" w:hAnsiTheme="minorHAnsi" w:cs="Arial"/>
                <w:sz w:val="24"/>
                <w:szCs w:val="24"/>
                <w:lang w:val="en-GB" w:eastAsia="en-GB"/>
              </w:rPr>
              <w:t>11.2%</w:t>
            </w:r>
          </w:p>
        </w:tc>
        <w:tc>
          <w:tcPr>
            <w:tcW w:w="994" w:type="dxa"/>
          </w:tcPr>
          <w:p w14:paraId="70F879BB" w14:textId="77777777" w:rsidR="000661B2" w:rsidRPr="001F7E66" w:rsidRDefault="000661B2" w:rsidP="00D572BB">
            <w:pPr>
              <w:jc w:val="both"/>
              <w:rPr>
                <w:rFonts w:asciiTheme="minorHAnsi" w:eastAsia="Calibri" w:hAnsiTheme="minorHAnsi" w:cs="Arial"/>
                <w:sz w:val="24"/>
                <w:szCs w:val="24"/>
                <w:lang w:val="en-GB" w:eastAsia="en-GB"/>
              </w:rPr>
            </w:pPr>
            <w:r w:rsidRPr="001F7E66">
              <w:rPr>
                <w:rFonts w:asciiTheme="minorHAnsi" w:eastAsia="Calibri" w:hAnsiTheme="minorHAnsi" w:cs="Arial"/>
                <w:sz w:val="24"/>
                <w:szCs w:val="24"/>
                <w:lang w:val="en-GB" w:eastAsia="en-GB"/>
              </w:rPr>
              <w:t>11.8%</w:t>
            </w:r>
          </w:p>
        </w:tc>
        <w:tc>
          <w:tcPr>
            <w:tcW w:w="968" w:type="dxa"/>
          </w:tcPr>
          <w:p w14:paraId="0762DDD8" w14:textId="77777777" w:rsidR="000661B2" w:rsidRPr="001F7E66" w:rsidRDefault="000661B2" w:rsidP="00D572BB">
            <w:pPr>
              <w:jc w:val="both"/>
              <w:rPr>
                <w:rFonts w:asciiTheme="minorHAnsi" w:eastAsia="Calibri" w:hAnsiTheme="minorHAnsi" w:cs="Arial"/>
                <w:sz w:val="24"/>
                <w:szCs w:val="24"/>
                <w:lang w:val="en-GB" w:eastAsia="en-GB"/>
              </w:rPr>
            </w:pPr>
            <w:r w:rsidRPr="001F7E66">
              <w:rPr>
                <w:rFonts w:asciiTheme="minorHAnsi" w:eastAsia="Calibri" w:hAnsiTheme="minorHAnsi" w:cs="Arial"/>
                <w:sz w:val="24"/>
                <w:szCs w:val="24"/>
                <w:lang w:val="en-GB" w:eastAsia="en-GB"/>
              </w:rPr>
              <w:t>12%</w:t>
            </w:r>
          </w:p>
        </w:tc>
        <w:tc>
          <w:tcPr>
            <w:tcW w:w="994" w:type="dxa"/>
          </w:tcPr>
          <w:p w14:paraId="76E551F3" w14:textId="77777777" w:rsidR="000661B2" w:rsidRPr="001F7E66" w:rsidRDefault="000661B2" w:rsidP="00D572BB">
            <w:pPr>
              <w:jc w:val="both"/>
              <w:rPr>
                <w:rFonts w:asciiTheme="minorHAnsi" w:eastAsia="Calibri" w:hAnsiTheme="minorHAnsi" w:cs="Arial"/>
                <w:sz w:val="24"/>
                <w:szCs w:val="24"/>
                <w:lang w:val="en-GB" w:eastAsia="en-GB"/>
              </w:rPr>
            </w:pPr>
            <w:r w:rsidRPr="001F7E66">
              <w:rPr>
                <w:rFonts w:asciiTheme="minorHAnsi" w:eastAsia="Calibri" w:hAnsiTheme="minorHAnsi" w:cs="Arial"/>
                <w:sz w:val="24"/>
                <w:szCs w:val="24"/>
                <w:lang w:val="en-GB" w:eastAsia="en-GB"/>
              </w:rPr>
              <w:t>13.6%</w:t>
            </w:r>
          </w:p>
        </w:tc>
        <w:tc>
          <w:tcPr>
            <w:tcW w:w="1055" w:type="dxa"/>
          </w:tcPr>
          <w:p w14:paraId="5685D71B" w14:textId="77777777" w:rsidR="000661B2" w:rsidRPr="001F7E66" w:rsidRDefault="000661B2" w:rsidP="00D572BB">
            <w:pPr>
              <w:jc w:val="both"/>
              <w:rPr>
                <w:rFonts w:asciiTheme="minorHAnsi" w:eastAsia="Calibri" w:hAnsiTheme="minorHAnsi" w:cs="Arial"/>
                <w:sz w:val="24"/>
                <w:szCs w:val="24"/>
                <w:lang w:val="en-GB" w:eastAsia="en-GB"/>
              </w:rPr>
            </w:pPr>
            <w:r w:rsidRPr="001F7E66">
              <w:rPr>
                <w:rFonts w:asciiTheme="minorHAnsi" w:eastAsia="Calibri" w:hAnsiTheme="minorHAnsi" w:cs="Arial"/>
                <w:sz w:val="24"/>
                <w:szCs w:val="24"/>
                <w:lang w:val="en-GB" w:eastAsia="en-GB"/>
              </w:rPr>
              <w:t>15.51%</w:t>
            </w:r>
          </w:p>
        </w:tc>
        <w:tc>
          <w:tcPr>
            <w:tcW w:w="935" w:type="dxa"/>
          </w:tcPr>
          <w:p w14:paraId="6799FC26" w14:textId="77777777" w:rsidR="000661B2" w:rsidRPr="001F7E66" w:rsidRDefault="000661B2" w:rsidP="00D572BB">
            <w:pPr>
              <w:jc w:val="both"/>
              <w:rPr>
                <w:rFonts w:asciiTheme="minorHAnsi" w:eastAsia="Calibri" w:hAnsiTheme="minorHAnsi" w:cs="Arial"/>
                <w:sz w:val="24"/>
                <w:szCs w:val="24"/>
                <w:lang w:val="en-GB" w:eastAsia="en-GB"/>
              </w:rPr>
            </w:pPr>
            <w:r w:rsidRPr="001F7E66">
              <w:rPr>
                <w:rFonts w:asciiTheme="minorHAnsi" w:eastAsia="Calibri" w:hAnsiTheme="minorHAnsi" w:cs="Arial"/>
                <w:sz w:val="24"/>
                <w:szCs w:val="24"/>
                <w:lang w:val="en-IE" w:eastAsia="en-GB"/>
              </w:rPr>
              <w:t>17.8%</w:t>
            </w:r>
          </w:p>
        </w:tc>
        <w:tc>
          <w:tcPr>
            <w:tcW w:w="914" w:type="dxa"/>
          </w:tcPr>
          <w:p w14:paraId="196B39BD" w14:textId="77777777" w:rsidR="000661B2" w:rsidRPr="001F7E66" w:rsidRDefault="000661B2" w:rsidP="00D572BB">
            <w:pPr>
              <w:jc w:val="both"/>
              <w:rPr>
                <w:rFonts w:asciiTheme="minorHAnsi" w:eastAsia="Calibri" w:hAnsiTheme="minorHAnsi" w:cs="Arial"/>
                <w:sz w:val="24"/>
                <w:szCs w:val="24"/>
                <w:lang w:val="en-GB" w:eastAsia="en-GB"/>
              </w:rPr>
            </w:pPr>
            <w:r w:rsidRPr="001F7E66">
              <w:rPr>
                <w:rFonts w:asciiTheme="minorHAnsi" w:eastAsia="Calibri" w:hAnsiTheme="minorHAnsi" w:cs="Arial"/>
                <w:sz w:val="24"/>
                <w:szCs w:val="24"/>
                <w:lang w:val="en-GB" w:eastAsia="en-GB"/>
              </w:rPr>
              <w:t>20%</w:t>
            </w:r>
          </w:p>
        </w:tc>
      </w:tr>
    </w:tbl>
    <w:p w14:paraId="37A022AD" w14:textId="77777777" w:rsidR="000661B2" w:rsidRDefault="000661B2" w:rsidP="000661B2">
      <w:pPr>
        <w:spacing w:after="100" w:line="240" w:lineRule="auto"/>
        <w:jc w:val="both"/>
        <w:rPr>
          <w:sz w:val="24"/>
          <w:szCs w:val="24"/>
        </w:rPr>
      </w:pPr>
      <w:r w:rsidRPr="001F7E66">
        <w:rPr>
          <w:sz w:val="24"/>
          <w:szCs w:val="24"/>
        </w:rPr>
        <w:t xml:space="preserve">Source: Irish Prison Service, </w:t>
      </w:r>
      <w:r w:rsidRPr="001F7E66">
        <w:rPr>
          <w:i/>
          <w:sz w:val="24"/>
          <w:szCs w:val="24"/>
        </w:rPr>
        <w:t>Annual Reports 2007 – 2014</w:t>
      </w:r>
      <w:r w:rsidRPr="001F7E66">
        <w:rPr>
          <w:sz w:val="24"/>
          <w:szCs w:val="24"/>
        </w:rPr>
        <w:t>.</w:t>
      </w:r>
    </w:p>
    <w:p w14:paraId="508F768C" w14:textId="2AC3BAA4" w:rsidR="003A3E7B" w:rsidRDefault="003A3E7B" w:rsidP="000661B2">
      <w:pPr>
        <w:spacing w:after="100" w:line="240" w:lineRule="auto"/>
        <w:jc w:val="both"/>
        <w:rPr>
          <w:sz w:val="24"/>
          <w:szCs w:val="24"/>
        </w:rPr>
      </w:pPr>
      <w:r>
        <w:rPr>
          <w:sz w:val="24"/>
          <w:szCs w:val="24"/>
        </w:rPr>
        <w:t>Some of the key factors contributing to this issue are set out below:</w:t>
      </w:r>
    </w:p>
    <w:p w14:paraId="7052B4F6" w14:textId="77777777" w:rsidR="003A3E7B" w:rsidRDefault="003A3E7B" w:rsidP="000661B2">
      <w:pPr>
        <w:spacing w:after="100" w:line="240" w:lineRule="auto"/>
        <w:jc w:val="both"/>
        <w:rPr>
          <w:sz w:val="24"/>
          <w:szCs w:val="24"/>
        </w:rPr>
      </w:pPr>
    </w:p>
    <w:p w14:paraId="6D7CDFD2" w14:textId="77777777" w:rsidR="003A3E7B" w:rsidRPr="000661B2" w:rsidRDefault="003A3E7B" w:rsidP="003A3E7B">
      <w:pPr>
        <w:spacing w:after="100" w:line="240" w:lineRule="auto"/>
        <w:jc w:val="both"/>
        <w:rPr>
          <w:i/>
          <w:sz w:val="24"/>
          <w:szCs w:val="24"/>
        </w:rPr>
      </w:pPr>
      <w:r>
        <w:rPr>
          <w:b/>
          <w:i/>
          <w:sz w:val="24"/>
          <w:szCs w:val="24"/>
        </w:rPr>
        <w:t>Complex Needs</w:t>
      </w:r>
      <w:r w:rsidRPr="000661B2">
        <w:rPr>
          <w:i/>
          <w:sz w:val="24"/>
          <w:szCs w:val="24"/>
        </w:rPr>
        <w:t xml:space="preserve"> </w:t>
      </w:r>
    </w:p>
    <w:p w14:paraId="6AA367EF" w14:textId="77777777" w:rsidR="003A3E7B" w:rsidRDefault="003A3E7B" w:rsidP="003A3E7B">
      <w:pPr>
        <w:spacing w:after="100" w:line="240" w:lineRule="auto"/>
        <w:jc w:val="both"/>
        <w:rPr>
          <w:sz w:val="24"/>
          <w:szCs w:val="24"/>
        </w:rPr>
      </w:pPr>
      <w:r>
        <w:rPr>
          <w:sz w:val="24"/>
          <w:szCs w:val="24"/>
        </w:rPr>
        <w:t>W</w:t>
      </w:r>
      <w:r w:rsidRPr="001F7E66">
        <w:rPr>
          <w:sz w:val="24"/>
          <w:szCs w:val="24"/>
        </w:rPr>
        <w:t xml:space="preserve">omen engaged with the criminal justice system in Ireland constitute </w:t>
      </w:r>
      <w:r w:rsidRPr="009851E9">
        <w:rPr>
          <w:sz w:val="24"/>
          <w:szCs w:val="24"/>
        </w:rPr>
        <w:t>some of the most vulnerable women in the State.</w:t>
      </w:r>
      <w:r w:rsidRPr="001F7E66">
        <w:rPr>
          <w:sz w:val="24"/>
          <w:szCs w:val="24"/>
        </w:rPr>
        <w:t xml:space="preserve"> A wealth of literature has illustrated that female offenders are likely</w:t>
      </w:r>
      <w:r>
        <w:rPr>
          <w:sz w:val="24"/>
          <w:szCs w:val="24"/>
        </w:rPr>
        <w:t xml:space="preserve"> to be poor, have</w:t>
      </w:r>
      <w:r w:rsidRPr="001F7E66">
        <w:rPr>
          <w:sz w:val="24"/>
          <w:szCs w:val="24"/>
        </w:rPr>
        <w:t xml:space="preserve"> limited education, are either unemployed or in low skilled employment, and are significantly more likely to have experienced problems such as mental health issues, addiction, homelessness, domestic violence and childhood sexual abuse.</w:t>
      </w:r>
      <w:r w:rsidRPr="001F7E66">
        <w:rPr>
          <w:rStyle w:val="FootnoteReference"/>
          <w:sz w:val="24"/>
          <w:szCs w:val="24"/>
        </w:rPr>
        <w:footnoteReference w:id="8"/>
      </w:r>
      <w:r w:rsidRPr="001F7E66">
        <w:rPr>
          <w:sz w:val="24"/>
          <w:szCs w:val="24"/>
        </w:rPr>
        <w:t xml:space="preserve"> </w:t>
      </w:r>
    </w:p>
    <w:p w14:paraId="19D7245A" w14:textId="77777777" w:rsidR="003A3E7B" w:rsidRPr="001F7E66" w:rsidRDefault="003A3E7B" w:rsidP="003A3E7B">
      <w:pPr>
        <w:spacing w:after="100" w:line="240" w:lineRule="auto"/>
        <w:jc w:val="both"/>
        <w:rPr>
          <w:sz w:val="24"/>
          <w:szCs w:val="24"/>
        </w:rPr>
      </w:pPr>
      <w:r w:rsidRPr="001F7E66">
        <w:rPr>
          <w:sz w:val="24"/>
          <w:szCs w:val="24"/>
        </w:rPr>
        <w:t>Quotes collected from women within the system illustrate this well:</w:t>
      </w:r>
    </w:p>
    <w:p w14:paraId="6D9A5314" w14:textId="77777777" w:rsidR="003A3E7B" w:rsidRPr="001F7E66" w:rsidRDefault="003A3E7B" w:rsidP="003A3E7B">
      <w:pPr>
        <w:spacing w:after="100" w:line="240" w:lineRule="auto"/>
        <w:ind w:left="720"/>
        <w:jc w:val="both"/>
        <w:rPr>
          <w:i/>
          <w:sz w:val="24"/>
          <w:szCs w:val="24"/>
        </w:rPr>
      </w:pPr>
      <w:r w:rsidRPr="001F7E66">
        <w:rPr>
          <w:i/>
          <w:sz w:val="24"/>
          <w:szCs w:val="24"/>
        </w:rPr>
        <w:t>‘Then as my addiction went on and on, when I hit heroin, then I was robbing to feed the habit. I had the means to do it. And the two things mixed together’.</w:t>
      </w:r>
    </w:p>
    <w:p w14:paraId="699692ED" w14:textId="7D817EF0" w:rsidR="003A3E7B" w:rsidRDefault="003A3E7B" w:rsidP="003A3E7B">
      <w:pPr>
        <w:spacing w:after="100" w:line="240" w:lineRule="auto"/>
        <w:ind w:left="720"/>
        <w:jc w:val="both"/>
        <w:rPr>
          <w:i/>
          <w:sz w:val="24"/>
          <w:szCs w:val="24"/>
        </w:rPr>
      </w:pPr>
      <w:r w:rsidRPr="001F7E66">
        <w:rPr>
          <w:i/>
          <w:sz w:val="24"/>
          <w:szCs w:val="24"/>
        </w:rPr>
        <w:lastRenderedPageBreak/>
        <w:t>‘I know I was in for doing wrong, I’ll put me hand up and say that…I shouldn’t have been collecting social welfare. But I was living in and out of women’s refuges my whole life. What did they expect?...’</w:t>
      </w:r>
      <w:r w:rsidRPr="001F7E66">
        <w:rPr>
          <w:rStyle w:val="FootnoteReference"/>
          <w:i/>
          <w:sz w:val="24"/>
          <w:szCs w:val="24"/>
        </w:rPr>
        <w:footnoteReference w:id="9"/>
      </w:r>
    </w:p>
    <w:p w14:paraId="6BEFB452" w14:textId="77777777" w:rsidR="003A3E7B" w:rsidRPr="003A3E7B" w:rsidRDefault="003A3E7B" w:rsidP="003A3E7B">
      <w:pPr>
        <w:spacing w:after="100" w:line="240" w:lineRule="auto"/>
        <w:ind w:left="720"/>
        <w:jc w:val="both"/>
        <w:rPr>
          <w:i/>
          <w:sz w:val="24"/>
          <w:szCs w:val="24"/>
        </w:rPr>
      </w:pPr>
    </w:p>
    <w:p w14:paraId="374179CD" w14:textId="77777777" w:rsidR="003A3E7B" w:rsidRPr="003A3E7B" w:rsidRDefault="003A3E7B" w:rsidP="003A3E7B">
      <w:pPr>
        <w:spacing w:after="100" w:line="240" w:lineRule="auto"/>
        <w:jc w:val="both"/>
        <w:rPr>
          <w:b/>
          <w:i/>
          <w:sz w:val="24"/>
          <w:szCs w:val="24"/>
        </w:rPr>
      </w:pPr>
      <w:r>
        <w:rPr>
          <w:b/>
          <w:i/>
          <w:sz w:val="24"/>
          <w:szCs w:val="24"/>
        </w:rPr>
        <w:t>Overuse of Remand</w:t>
      </w:r>
    </w:p>
    <w:p w14:paraId="65EA7B52" w14:textId="77777777" w:rsidR="003A3E7B" w:rsidRPr="001F7E66" w:rsidRDefault="003A3E7B" w:rsidP="003A3E7B">
      <w:pPr>
        <w:spacing w:after="100" w:line="240" w:lineRule="auto"/>
        <w:jc w:val="both"/>
        <w:rPr>
          <w:sz w:val="24"/>
          <w:szCs w:val="24"/>
        </w:rPr>
      </w:pPr>
      <w:r w:rsidRPr="001F7E66">
        <w:rPr>
          <w:sz w:val="24"/>
          <w:szCs w:val="24"/>
        </w:rPr>
        <w:t xml:space="preserve">In 2014, the Strategic Review Group on Penal Policy noted a </w:t>
      </w:r>
      <w:r w:rsidRPr="001F7E66">
        <w:rPr>
          <w:i/>
          <w:sz w:val="24"/>
          <w:szCs w:val="24"/>
        </w:rPr>
        <w:t>‘higher use of remand in the case of female offenders in comparison to male offenders’.</w:t>
      </w:r>
      <w:r w:rsidRPr="001F7E66">
        <w:rPr>
          <w:rStyle w:val="FootnoteReference"/>
          <w:i/>
          <w:sz w:val="24"/>
          <w:szCs w:val="24"/>
        </w:rPr>
        <w:footnoteReference w:id="10"/>
      </w:r>
      <w:r w:rsidRPr="001F7E66">
        <w:rPr>
          <w:i/>
          <w:sz w:val="24"/>
          <w:szCs w:val="24"/>
        </w:rPr>
        <w:t xml:space="preserve"> </w:t>
      </w:r>
      <w:r w:rsidRPr="001F7E66">
        <w:rPr>
          <w:sz w:val="24"/>
          <w:szCs w:val="24"/>
        </w:rPr>
        <w:t xml:space="preserve">Research from both Ireland and the UK indicates that women are more likely than men to be remanded to prison for offences that are not likely to lead to a custodial sentence. </w:t>
      </w:r>
    </w:p>
    <w:p w14:paraId="1ABDC698" w14:textId="65E5A6CC" w:rsidR="003A3E7B" w:rsidRDefault="003A3E7B" w:rsidP="003A3E7B">
      <w:pPr>
        <w:spacing w:after="100" w:line="240" w:lineRule="auto"/>
        <w:jc w:val="both"/>
        <w:rPr>
          <w:sz w:val="24"/>
          <w:szCs w:val="24"/>
        </w:rPr>
      </w:pPr>
      <w:r w:rsidRPr="001F7E66">
        <w:rPr>
          <w:sz w:val="24"/>
          <w:szCs w:val="24"/>
        </w:rPr>
        <w:t>Committal on remand is sometimes conceived of and used in a paternalistic, patriarchal manner with regards to female offenders, in that is often used to provide a point of stability in a chaotic life, or provide access to services to which the woman would not otherwise have access to, such as addiction services or counselling.</w:t>
      </w:r>
      <w:r w:rsidRPr="001F7E66">
        <w:rPr>
          <w:rStyle w:val="FootnoteReference"/>
          <w:sz w:val="24"/>
          <w:szCs w:val="24"/>
        </w:rPr>
        <w:footnoteReference w:id="11"/>
      </w:r>
      <w:r w:rsidRPr="001F7E66">
        <w:rPr>
          <w:sz w:val="24"/>
          <w:szCs w:val="24"/>
        </w:rPr>
        <w:t xml:space="preserve"> Imprisonment should never be used as respite. Placing women on remand in custody can often have a detrimental effect on her wider life, in that she may lose her children to the care system, or lose her home, without having received a custodial sentence. </w:t>
      </w:r>
    </w:p>
    <w:p w14:paraId="363CC770" w14:textId="77777777" w:rsidR="003A3E7B" w:rsidRPr="003A3E7B" w:rsidRDefault="003A3E7B" w:rsidP="003A3E7B">
      <w:pPr>
        <w:spacing w:after="100" w:line="240" w:lineRule="auto"/>
        <w:jc w:val="both"/>
        <w:rPr>
          <w:sz w:val="24"/>
          <w:szCs w:val="24"/>
        </w:rPr>
      </w:pPr>
    </w:p>
    <w:p w14:paraId="34D640C5" w14:textId="77777777" w:rsidR="000661B2" w:rsidRPr="000661B2" w:rsidRDefault="000661B2" w:rsidP="000661B2">
      <w:pPr>
        <w:tabs>
          <w:tab w:val="left" w:pos="5010"/>
        </w:tabs>
        <w:spacing w:after="100" w:line="240" w:lineRule="auto"/>
        <w:rPr>
          <w:b/>
          <w:i/>
          <w:sz w:val="24"/>
          <w:szCs w:val="24"/>
        </w:rPr>
      </w:pPr>
      <w:r>
        <w:rPr>
          <w:b/>
          <w:i/>
          <w:sz w:val="24"/>
          <w:szCs w:val="24"/>
        </w:rPr>
        <w:t>Committals for Non-P</w:t>
      </w:r>
      <w:r w:rsidRPr="000661B2">
        <w:rPr>
          <w:b/>
          <w:i/>
          <w:sz w:val="24"/>
          <w:szCs w:val="24"/>
        </w:rPr>
        <w:t>ayment of Court Ordered Fines</w:t>
      </w:r>
      <w:r w:rsidRPr="000661B2">
        <w:rPr>
          <w:b/>
          <w:i/>
          <w:sz w:val="24"/>
          <w:szCs w:val="24"/>
        </w:rPr>
        <w:tab/>
      </w:r>
    </w:p>
    <w:p w14:paraId="28DA3541" w14:textId="05BF85AD" w:rsidR="000661B2" w:rsidRDefault="003A3E7B" w:rsidP="000661B2">
      <w:pPr>
        <w:spacing w:after="100" w:line="240" w:lineRule="auto"/>
        <w:jc w:val="both"/>
        <w:rPr>
          <w:sz w:val="24"/>
          <w:szCs w:val="24"/>
        </w:rPr>
      </w:pPr>
      <w:r>
        <w:rPr>
          <w:sz w:val="24"/>
          <w:szCs w:val="24"/>
        </w:rPr>
        <w:t xml:space="preserve">Historically, the number of women committed for failure to pay court ordered fines has been high. </w:t>
      </w:r>
      <w:r w:rsidR="000661B2" w:rsidRPr="001F7E66">
        <w:rPr>
          <w:sz w:val="24"/>
          <w:szCs w:val="24"/>
        </w:rPr>
        <w:t xml:space="preserve">IPRT notes and welcomes however, the expected reduction in female committals from January 2016 as a result of the implementation of the </w:t>
      </w:r>
      <w:r w:rsidR="000661B2" w:rsidRPr="001F7E66">
        <w:rPr>
          <w:i/>
          <w:sz w:val="24"/>
          <w:szCs w:val="24"/>
        </w:rPr>
        <w:t>Fines (Payment and Recovery) Act 2014</w:t>
      </w:r>
      <w:r w:rsidR="000661B2" w:rsidRPr="001F7E66">
        <w:rPr>
          <w:sz w:val="24"/>
          <w:szCs w:val="24"/>
        </w:rPr>
        <w:t xml:space="preserve">, which should reduce the number of women committed as a result of the non-payment of Court-ordered fines. </w:t>
      </w:r>
      <w:r w:rsidR="000661B2">
        <w:rPr>
          <w:sz w:val="24"/>
          <w:szCs w:val="24"/>
        </w:rPr>
        <w:t>However t</w:t>
      </w:r>
      <w:r w:rsidR="000661B2" w:rsidRPr="001F7E66">
        <w:rPr>
          <w:sz w:val="24"/>
          <w:szCs w:val="24"/>
        </w:rPr>
        <w:t xml:space="preserve">he </w:t>
      </w:r>
      <w:r w:rsidR="000661B2" w:rsidRPr="001F7E66">
        <w:rPr>
          <w:i/>
          <w:sz w:val="24"/>
          <w:szCs w:val="24"/>
        </w:rPr>
        <w:t xml:space="preserve">Fines (Payment and Recovery) Act 2014 </w:t>
      </w:r>
      <w:r w:rsidR="000661B2" w:rsidRPr="001F7E66">
        <w:rPr>
          <w:sz w:val="24"/>
          <w:szCs w:val="24"/>
        </w:rPr>
        <w:t xml:space="preserve">only covers fines over 100 euro, and thus those from a particularly low financial threshold may not able to avail of its provisions. </w:t>
      </w:r>
    </w:p>
    <w:p w14:paraId="1F77FC31" w14:textId="77777777" w:rsidR="003A3E7B" w:rsidRPr="003A3E7B" w:rsidRDefault="003A3E7B" w:rsidP="000661B2">
      <w:pPr>
        <w:spacing w:after="100" w:line="240" w:lineRule="auto"/>
        <w:jc w:val="both"/>
        <w:rPr>
          <w:sz w:val="24"/>
          <w:szCs w:val="24"/>
        </w:rPr>
      </w:pPr>
    </w:p>
    <w:p w14:paraId="04CE11F0" w14:textId="7092CCB9" w:rsidR="000661B2" w:rsidRPr="000661B2" w:rsidRDefault="000661B2" w:rsidP="000661B2">
      <w:pPr>
        <w:spacing w:after="100" w:line="240" w:lineRule="auto"/>
        <w:jc w:val="both"/>
        <w:rPr>
          <w:b/>
          <w:i/>
          <w:sz w:val="24"/>
          <w:szCs w:val="24"/>
        </w:rPr>
      </w:pPr>
      <w:r>
        <w:rPr>
          <w:b/>
          <w:i/>
          <w:sz w:val="24"/>
          <w:szCs w:val="24"/>
        </w:rPr>
        <w:t>Short Term Prison Sentences</w:t>
      </w:r>
    </w:p>
    <w:p w14:paraId="7E44C84B" w14:textId="0181A382" w:rsidR="000661B2" w:rsidRDefault="000661B2" w:rsidP="000661B2">
      <w:pPr>
        <w:spacing w:after="100" w:line="240" w:lineRule="auto"/>
        <w:jc w:val="both"/>
        <w:rPr>
          <w:sz w:val="24"/>
          <w:szCs w:val="24"/>
        </w:rPr>
      </w:pPr>
      <w:r>
        <w:rPr>
          <w:sz w:val="24"/>
          <w:szCs w:val="24"/>
        </w:rPr>
        <w:t xml:space="preserve">The majority of </w:t>
      </w:r>
      <w:r w:rsidRPr="001F7E66">
        <w:rPr>
          <w:sz w:val="24"/>
          <w:szCs w:val="24"/>
        </w:rPr>
        <w:t xml:space="preserve">female offenders have committed non-violent offences, and often </w:t>
      </w:r>
      <w:r>
        <w:rPr>
          <w:sz w:val="24"/>
          <w:szCs w:val="24"/>
        </w:rPr>
        <w:t>receive</w:t>
      </w:r>
      <w:r w:rsidRPr="001F7E66">
        <w:rPr>
          <w:sz w:val="24"/>
          <w:szCs w:val="24"/>
        </w:rPr>
        <w:t xml:space="preserve"> short term sentences. </w:t>
      </w:r>
      <w:r>
        <w:rPr>
          <w:sz w:val="24"/>
          <w:szCs w:val="24"/>
        </w:rPr>
        <w:t>T</w:t>
      </w:r>
      <w:r w:rsidRPr="001F7E66">
        <w:rPr>
          <w:sz w:val="24"/>
          <w:szCs w:val="24"/>
        </w:rPr>
        <w:t xml:space="preserve">he Irish Prison Service itself has acknowledged that female offenders tend to </w:t>
      </w:r>
      <w:r w:rsidRPr="001F7E66">
        <w:rPr>
          <w:i/>
          <w:sz w:val="24"/>
          <w:szCs w:val="24"/>
        </w:rPr>
        <w:t>‘pose a low risk to society’</w:t>
      </w:r>
      <w:r w:rsidRPr="001F7E66">
        <w:rPr>
          <w:sz w:val="24"/>
          <w:szCs w:val="24"/>
        </w:rPr>
        <w:t xml:space="preserve"> so custodial sentences tend to be </w:t>
      </w:r>
      <w:r w:rsidRPr="001F7E66">
        <w:rPr>
          <w:i/>
          <w:sz w:val="24"/>
          <w:szCs w:val="24"/>
        </w:rPr>
        <w:t xml:space="preserve">‘disproportionately harsh’ </w:t>
      </w:r>
      <w:r w:rsidRPr="001F7E66">
        <w:rPr>
          <w:sz w:val="24"/>
          <w:szCs w:val="24"/>
        </w:rPr>
        <w:t>on women and their families.</w:t>
      </w:r>
      <w:r w:rsidRPr="001F7E66">
        <w:rPr>
          <w:rStyle w:val="FootnoteReference"/>
          <w:sz w:val="24"/>
          <w:szCs w:val="24"/>
        </w:rPr>
        <w:footnoteReference w:id="12"/>
      </w:r>
      <w:r w:rsidRPr="001F7E66">
        <w:rPr>
          <w:sz w:val="24"/>
          <w:szCs w:val="24"/>
        </w:rPr>
        <w:t xml:space="preserve"> </w:t>
      </w:r>
      <w:r w:rsidRPr="000661B2">
        <w:rPr>
          <w:sz w:val="24"/>
          <w:szCs w:val="24"/>
        </w:rPr>
        <w:t>In 2012, those committed for sentences of less than three months accounted for 83% of all female committals under sentence.</w:t>
      </w:r>
      <w:r w:rsidRPr="000661B2">
        <w:rPr>
          <w:rStyle w:val="FootnoteReference"/>
          <w:sz w:val="24"/>
          <w:szCs w:val="24"/>
        </w:rPr>
        <w:footnoteReference w:id="13"/>
      </w:r>
    </w:p>
    <w:p w14:paraId="2FC4EF31" w14:textId="77777777" w:rsidR="000661B2" w:rsidRDefault="000661B2" w:rsidP="000661B2">
      <w:pPr>
        <w:spacing w:after="100" w:line="240" w:lineRule="auto"/>
        <w:jc w:val="both"/>
        <w:rPr>
          <w:sz w:val="24"/>
          <w:szCs w:val="24"/>
        </w:rPr>
      </w:pPr>
    </w:p>
    <w:p w14:paraId="54BBD9AB" w14:textId="77777777" w:rsidR="003A3E7B" w:rsidRDefault="003A3E7B" w:rsidP="000661B2">
      <w:pPr>
        <w:spacing w:after="100" w:line="240" w:lineRule="auto"/>
        <w:jc w:val="both"/>
        <w:rPr>
          <w:sz w:val="24"/>
          <w:szCs w:val="24"/>
        </w:rPr>
      </w:pPr>
    </w:p>
    <w:p w14:paraId="459A67FC" w14:textId="77777777" w:rsidR="003A3E7B" w:rsidRPr="001F7E66" w:rsidRDefault="003A3E7B" w:rsidP="000661B2">
      <w:pPr>
        <w:spacing w:after="100" w:line="240" w:lineRule="auto"/>
        <w:jc w:val="both"/>
        <w:rPr>
          <w:sz w:val="24"/>
          <w:szCs w:val="24"/>
        </w:rPr>
      </w:pPr>
    </w:p>
    <w:p w14:paraId="3118EDB7" w14:textId="77777777" w:rsidR="000661B2" w:rsidRPr="001F7E66" w:rsidRDefault="000661B2" w:rsidP="000661B2">
      <w:pPr>
        <w:spacing w:before="60" w:after="0" w:line="240" w:lineRule="auto"/>
        <w:jc w:val="both"/>
        <w:rPr>
          <w:rFonts w:eastAsia="Calibri" w:cs="Arial"/>
          <w:b/>
          <w:sz w:val="24"/>
          <w:szCs w:val="24"/>
          <w:lang w:val="en-GB" w:eastAsia="en-GB"/>
        </w:rPr>
      </w:pPr>
      <w:r w:rsidRPr="001F7E66">
        <w:rPr>
          <w:rFonts w:eastAsia="Calibri" w:cs="Arial"/>
          <w:b/>
          <w:sz w:val="24"/>
          <w:szCs w:val="24"/>
          <w:lang w:val="en-GB" w:eastAsia="en-GB"/>
        </w:rPr>
        <w:lastRenderedPageBreak/>
        <w:t>Table 3: Number of women and sentence periods 1990, 2005, 2012</w:t>
      </w:r>
    </w:p>
    <w:tbl>
      <w:tblPr>
        <w:tblStyle w:val="TableGrid"/>
        <w:tblW w:w="9639" w:type="dxa"/>
        <w:tblInd w:w="-5" w:type="dxa"/>
        <w:tblLook w:val="04A0" w:firstRow="1" w:lastRow="0" w:firstColumn="1" w:lastColumn="0" w:noHBand="0" w:noVBand="1"/>
      </w:tblPr>
      <w:tblGrid>
        <w:gridCol w:w="851"/>
        <w:gridCol w:w="763"/>
        <w:gridCol w:w="796"/>
        <w:gridCol w:w="896"/>
        <w:gridCol w:w="693"/>
        <w:gridCol w:w="693"/>
        <w:gridCol w:w="695"/>
        <w:gridCol w:w="850"/>
        <w:gridCol w:w="579"/>
        <w:gridCol w:w="574"/>
        <w:gridCol w:w="1399"/>
        <w:gridCol w:w="850"/>
      </w:tblGrid>
      <w:tr w:rsidR="000661B2" w:rsidRPr="001F7E66" w14:paraId="58B3879C" w14:textId="77777777" w:rsidTr="00D572BB">
        <w:tc>
          <w:tcPr>
            <w:tcW w:w="851" w:type="dxa"/>
          </w:tcPr>
          <w:p w14:paraId="246440D3" w14:textId="77777777" w:rsidR="000661B2" w:rsidRPr="001F7E66" w:rsidRDefault="000661B2" w:rsidP="00D572BB">
            <w:pPr>
              <w:jc w:val="both"/>
              <w:rPr>
                <w:rFonts w:asciiTheme="minorHAnsi" w:eastAsia="Calibri" w:hAnsiTheme="minorHAnsi"/>
                <w:b/>
                <w:sz w:val="24"/>
                <w:szCs w:val="24"/>
                <w:lang w:val="en-GB" w:eastAsia="en-GB"/>
              </w:rPr>
            </w:pPr>
            <w:r w:rsidRPr="001F7E66">
              <w:rPr>
                <w:rFonts w:asciiTheme="minorHAnsi" w:eastAsia="Calibri" w:hAnsiTheme="minorHAnsi"/>
                <w:b/>
                <w:sz w:val="24"/>
                <w:szCs w:val="24"/>
                <w:lang w:val="en-GB" w:eastAsia="en-GB"/>
              </w:rPr>
              <w:t>Year</w:t>
            </w:r>
          </w:p>
        </w:tc>
        <w:tc>
          <w:tcPr>
            <w:tcW w:w="763" w:type="dxa"/>
          </w:tcPr>
          <w:p w14:paraId="3517B319" w14:textId="77777777" w:rsidR="000661B2" w:rsidRPr="001F7E66" w:rsidRDefault="000661B2" w:rsidP="00D572BB">
            <w:pPr>
              <w:jc w:val="both"/>
              <w:rPr>
                <w:rFonts w:asciiTheme="minorHAnsi" w:eastAsia="Calibri" w:hAnsiTheme="minorHAnsi"/>
                <w:b/>
                <w:sz w:val="24"/>
                <w:szCs w:val="24"/>
                <w:lang w:val="en-GB" w:eastAsia="en-GB"/>
              </w:rPr>
            </w:pPr>
            <w:r w:rsidRPr="001F7E66">
              <w:rPr>
                <w:rFonts w:asciiTheme="minorHAnsi" w:eastAsia="Calibri" w:hAnsiTheme="minorHAnsi"/>
                <w:b/>
                <w:sz w:val="24"/>
                <w:szCs w:val="24"/>
                <w:lang w:val="en-GB" w:eastAsia="en-GB"/>
              </w:rPr>
              <w:t xml:space="preserve">&lt;3m </w:t>
            </w:r>
          </w:p>
        </w:tc>
        <w:tc>
          <w:tcPr>
            <w:tcW w:w="796" w:type="dxa"/>
          </w:tcPr>
          <w:p w14:paraId="693E94C1" w14:textId="77777777" w:rsidR="000661B2" w:rsidRPr="001F7E66" w:rsidRDefault="000661B2" w:rsidP="00D572BB">
            <w:pPr>
              <w:jc w:val="both"/>
              <w:rPr>
                <w:rFonts w:asciiTheme="minorHAnsi" w:eastAsia="Calibri" w:hAnsiTheme="minorHAnsi"/>
                <w:b/>
                <w:sz w:val="24"/>
                <w:szCs w:val="24"/>
                <w:lang w:val="en-GB" w:eastAsia="en-GB"/>
              </w:rPr>
            </w:pPr>
            <w:r w:rsidRPr="001F7E66">
              <w:rPr>
                <w:rFonts w:asciiTheme="minorHAnsi" w:eastAsia="Calibri" w:hAnsiTheme="minorHAnsi"/>
                <w:b/>
                <w:sz w:val="24"/>
                <w:szCs w:val="24"/>
                <w:lang w:val="en-GB" w:eastAsia="en-GB"/>
              </w:rPr>
              <w:t xml:space="preserve">3&lt;6m </w:t>
            </w:r>
          </w:p>
        </w:tc>
        <w:tc>
          <w:tcPr>
            <w:tcW w:w="896" w:type="dxa"/>
          </w:tcPr>
          <w:p w14:paraId="20DDA5AE" w14:textId="77777777" w:rsidR="000661B2" w:rsidRPr="001F7E66" w:rsidRDefault="000661B2" w:rsidP="00D572BB">
            <w:pPr>
              <w:jc w:val="both"/>
              <w:rPr>
                <w:rFonts w:asciiTheme="minorHAnsi" w:eastAsia="Calibri" w:hAnsiTheme="minorHAnsi"/>
                <w:b/>
                <w:sz w:val="24"/>
                <w:szCs w:val="24"/>
                <w:lang w:val="en-GB" w:eastAsia="en-GB"/>
              </w:rPr>
            </w:pPr>
            <w:r w:rsidRPr="001F7E66">
              <w:rPr>
                <w:rFonts w:asciiTheme="minorHAnsi" w:eastAsia="Calibri" w:hAnsiTheme="minorHAnsi"/>
                <w:b/>
                <w:sz w:val="24"/>
                <w:szCs w:val="24"/>
                <w:lang w:val="en-GB" w:eastAsia="en-GB"/>
              </w:rPr>
              <w:t xml:space="preserve">6&lt;12m </w:t>
            </w:r>
          </w:p>
        </w:tc>
        <w:tc>
          <w:tcPr>
            <w:tcW w:w="693" w:type="dxa"/>
          </w:tcPr>
          <w:p w14:paraId="7229B776" w14:textId="77777777" w:rsidR="000661B2" w:rsidRPr="001F7E66" w:rsidRDefault="000661B2" w:rsidP="00D572BB">
            <w:pPr>
              <w:jc w:val="both"/>
              <w:rPr>
                <w:rFonts w:asciiTheme="minorHAnsi" w:eastAsia="Calibri" w:hAnsiTheme="minorHAnsi"/>
                <w:b/>
                <w:sz w:val="24"/>
                <w:szCs w:val="24"/>
                <w:lang w:val="en-GB" w:eastAsia="en-GB"/>
              </w:rPr>
            </w:pPr>
            <w:r w:rsidRPr="001F7E66">
              <w:rPr>
                <w:rFonts w:asciiTheme="minorHAnsi" w:eastAsia="Calibri" w:hAnsiTheme="minorHAnsi"/>
                <w:b/>
                <w:sz w:val="24"/>
                <w:szCs w:val="24"/>
                <w:lang w:val="en-GB" w:eastAsia="en-GB"/>
              </w:rPr>
              <w:t xml:space="preserve">1&lt;2y </w:t>
            </w:r>
          </w:p>
        </w:tc>
        <w:tc>
          <w:tcPr>
            <w:tcW w:w="693" w:type="dxa"/>
          </w:tcPr>
          <w:p w14:paraId="45700CFF" w14:textId="77777777" w:rsidR="000661B2" w:rsidRPr="001F7E66" w:rsidRDefault="000661B2" w:rsidP="00D572BB">
            <w:pPr>
              <w:jc w:val="both"/>
              <w:rPr>
                <w:rFonts w:asciiTheme="minorHAnsi" w:eastAsia="Calibri" w:hAnsiTheme="minorHAnsi"/>
                <w:b/>
                <w:sz w:val="24"/>
                <w:szCs w:val="24"/>
                <w:lang w:val="en-GB" w:eastAsia="en-GB"/>
              </w:rPr>
            </w:pPr>
            <w:r w:rsidRPr="001F7E66">
              <w:rPr>
                <w:rFonts w:asciiTheme="minorHAnsi" w:eastAsia="Calibri" w:hAnsiTheme="minorHAnsi"/>
                <w:b/>
                <w:sz w:val="24"/>
                <w:szCs w:val="24"/>
                <w:lang w:val="en-GB" w:eastAsia="en-GB"/>
              </w:rPr>
              <w:t xml:space="preserve">2&lt;3y </w:t>
            </w:r>
          </w:p>
        </w:tc>
        <w:tc>
          <w:tcPr>
            <w:tcW w:w="695" w:type="dxa"/>
          </w:tcPr>
          <w:p w14:paraId="76AF7876" w14:textId="77777777" w:rsidR="000661B2" w:rsidRPr="001F7E66" w:rsidRDefault="000661B2" w:rsidP="00D572BB">
            <w:pPr>
              <w:jc w:val="both"/>
              <w:rPr>
                <w:rFonts w:asciiTheme="minorHAnsi" w:eastAsia="Calibri" w:hAnsiTheme="minorHAnsi"/>
                <w:b/>
                <w:sz w:val="24"/>
                <w:szCs w:val="24"/>
                <w:lang w:val="en-GB" w:eastAsia="en-GB"/>
              </w:rPr>
            </w:pPr>
            <w:r w:rsidRPr="001F7E66">
              <w:rPr>
                <w:rFonts w:asciiTheme="minorHAnsi" w:eastAsia="Calibri" w:hAnsiTheme="minorHAnsi"/>
                <w:b/>
                <w:sz w:val="24"/>
                <w:szCs w:val="24"/>
                <w:lang w:val="en-GB" w:eastAsia="en-GB"/>
              </w:rPr>
              <w:t xml:space="preserve">3&lt;5y </w:t>
            </w:r>
          </w:p>
        </w:tc>
        <w:tc>
          <w:tcPr>
            <w:tcW w:w="850" w:type="dxa"/>
          </w:tcPr>
          <w:p w14:paraId="44AD414D" w14:textId="77777777" w:rsidR="000661B2" w:rsidRPr="001F7E66" w:rsidRDefault="000661B2" w:rsidP="00D572BB">
            <w:pPr>
              <w:jc w:val="both"/>
              <w:rPr>
                <w:rFonts w:asciiTheme="minorHAnsi" w:eastAsia="Calibri" w:hAnsiTheme="minorHAnsi"/>
                <w:b/>
                <w:sz w:val="24"/>
                <w:szCs w:val="24"/>
                <w:lang w:val="en-GB" w:eastAsia="en-GB"/>
              </w:rPr>
            </w:pPr>
            <w:r w:rsidRPr="001F7E66">
              <w:rPr>
                <w:rFonts w:asciiTheme="minorHAnsi" w:eastAsia="Calibri" w:hAnsiTheme="minorHAnsi"/>
                <w:b/>
                <w:sz w:val="24"/>
                <w:szCs w:val="24"/>
                <w:lang w:val="en-GB" w:eastAsia="en-GB"/>
              </w:rPr>
              <w:t xml:space="preserve">5&lt;10y </w:t>
            </w:r>
          </w:p>
        </w:tc>
        <w:tc>
          <w:tcPr>
            <w:tcW w:w="579" w:type="dxa"/>
          </w:tcPr>
          <w:p w14:paraId="45AEF952" w14:textId="77777777" w:rsidR="000661B2" w:rsidRPr="001F7E66" w:rsidRDefault="000661B2" w:rsidP="00D572BB">
            <w:pPr>
              <w:jc w:val="both"/>
              <w:rPr>
                <w:rFonts w:asciiTheme="minorHAnsi" w:eastAsia="Calibri" w:hAnsiTheme="minorHAnsi"/>
                <w:b/>
                <w:sz w:val="24"/>
                <w:szCs w:val="24"/>
                <w:lang w:val="en-GB" w:eastAsia="en-GB"/>
              </w:rPr>
            </w:pPr>
            <w:r w:rsidRPr="001F7E66">
              <w:rPr>
                <w:rFonts w:asciiTheme="minorHAnsi" w:eastAsia="Calibri" w:hAnsiTheme="minorHAnsi"/>
                <w:b/>
                <w:sz w:val="24"/>
                <w:szCs w:val="24"/>
                <w:lang w:val="en-GB" w:eastAsia="en-GB"/>
              </w:rPr>
              <w:t xml:space="preserve">10+ </w:t>
            </w:r>
          </w:p>
        </w:tc>
        <w:tc>
          <w:tcPr>
            <w:tcW w:w="574" w:type="dxa"/>
          </w:tcPr>
          <w:p w14:paraId="649F8A2A" w14:textId="77777777" w:rsidR="000661B2" w:rsidRPr="001F7E66" w:rsidRDefault="000661B2" w:rsidP="00D572BB">
            <w:pPr>
              <w:jc w:val="both"/>
              <w:rPr>
                <w:rFonts w:asciiTheme="minorHAnsi" w:eastAsia="Calibri" w:hAnsiTheme="minorHAnsi"/>
                <w:b/>
                <w:sz w:val="24"/>
                <w:szCs w:val="24"/>
                <w:lang w:val="en-GB" w:eastAsia="en-GB"/>
              </w:rPr>
            </w:pPr>
            <w:r w:rsidRPr="001F7E66">
              <w:rPr>
                <w:rFonts w:asciiTheme="minorHAnsi" w:eastAsia="Calibri" w:hAnsiTheme="minorHAnsi"/>
                <w:b/>
                <w:sz w:val="24"/>
                <w:szCs w:val="24"/>
                <w:lang w:val="en-GB" w:eastAsia="en-GB"/>
              </w:rPr>
              <w:t xml:space="preserve">Life </w:t>
            </w:r>
          </w:p>
        </w:tc>
        <w:tc>
          <w:tcPr>
            <w:tcW w:w="1399" w:type="dxa"/>
          </w:tcPr>
          <w:p w14:paraId="5784631E" w14:textId="77777777" w:rsidR="000661B2" w:rsidRPr="001F7E66" w:rsidRDefault="000661B2" w:rsidP="00D572BB">
            <w:pPr>
              <w:jc w:val="both"/>
              <w:rPr>
                <w:rFonts w:asciiTheme="minorHAnsi" w:eastAsia="Calibri" w:hAnsiTheme="minorHAnsi"/>
                <w:b/>
                <w:sz w:val="24"/>
                <w:szCs w:val="24"/>
                <w:lang w:val="en-GB" w:eastAsia="en-GB"/>
              </w:rPr>
            </w:pPr>
            <w:r w:rsidRPr="001F7E66">
              <w:rPr>
                <w:rFonts w:asciiTheme="minorHAnsi" w:eastAsia="Calibri" w:hAnsiTheme="minorHAnsi"/>
                <w:b/>
                <w:sz w:val="24"/>
                <w:szCs w:val="24"/>
                <w:lang w:val="en-GB" w:eastAsia="en-GB"/>
              </w:rPr>
              <w:t xml:space="preserve">Unspecified </w:t>
            </w:r>
          </w:p>
        </w:tc>
        <w:tc>
          <w:tcPr>
            <w:tcW w:w="850" w:type="dxa"/>
            <w:shd w:val="clear" w:color="auto" w:fill="D0CECE" w:themeFill="background2" w:themeFillShade="E6"/>
          </w:tcPr>
          <w:p w14:paraId="0CDB6B64" w14:textId="77777777" w:rsidR="000661B2" w:rsidRPr="001F7E66" w:rsidRDefault="000661B2" w:rsidP="00D572BB">
            <w:pPr>
              <w:jc w:val="both"/>
              <w:rPr>
                <w:rFonts w:asciiTheme="minorHAnsi" w:eastAsia="Calibri" w:hAnsiTheme="minorHAnsi"/>
                <w:b/>
                <w:sz w:val="24"/>
                <w:szCs w:val="24"/>
                <w:lang w:val="en-GB" w:eastAsia="en-GB"/>
              </w:rPr>
            </w:pPr>
            <w:r w:rsidRPr="001F7E66">
              <w:rPr>
                <w:rFonts w:asciiTheme="minorHAnsi" w:eastAsia="Calibri" w:hAnsiTheme="minorHAnsi"/>
                <w:b/>
                <w:sz w:val="24"/>
                <w:szCs w:val="24"/>
                <w:lang w:val="en-GB" w:eastAsia="en-GB"/>
              </w:rPr>
              <w:t>Total</w:t>
            </w:r>
          </w:p>
        </w:tc>
      </w:tr>
      <w:tr w:rsidR="000661B2" w:rsidRPr="001F7E66" w14:paraId="2902EE16" w14:textId="77777777" w:rsidTr="00D572BB">
        <w:tc>
          <w:tcPr>
            <w:tcW w:w="851" w:type="dxa"/>
          </w:tcPr>
          <w:p w14:paraId="7A6652EB" w14:textId="77777777" w:rsidR="000661B2" w:rsidRPr="001F7E66" w:rsidRDefault="000661B2" w:rsidP="00D572BB">
            <w:pPr>
              <w:jc w:val="both"/>
              <w:rPr>
                <w:rFonts w:asciiTheme="minorHAnsi" w:eastAsia="Calibri" w:hAnsiTheme="minorHAnsi"/>
                <w:b/>
                <w:sz w:val="24"/>
                <w:szCs w:val="24"/>
                <w:lang w:val="en-GB" w:eastAsia="en-GB"/>
              </w:rPr>
            </w:pPr>
            <w:r w:rsidRPr="001F7E66">
              <w:rPr>
                <w:rFonts w:asciiTheme="minorHAnsi" w:eastAsia="Calibri" w:hAnsiTheme="minorHAnsi"/>
                <w:b/>
                <w:sz w:val="24"/>
                <w:szCs w:val="24"/>
                <w:lang w:val="en-GB" w:eastAsia="en-GB"/>
              </w:rPr>
              <w:t>1990</w:t>
            </w:r>
          </w:p>
        </w:tc>
        <w:tc>
          <w:tcPr>
            <w:tcW w:w="763" w:type="dxa"/>
          </w:tcPr>
          <w:p w14:paraId="42880D1D" w14:textId="77777777" w:rsidR="000661B2" w:rsidRPr="001F7E66" w:rsidRDefault="000661B2" w:rsidP="00D572BB">
            <w:pPr>
              <w:jc w:val="both"/>
              <w:rPr>
                <w:rFonts w:asciiTheme="minorHAnsi" w:eastAsia="Calibri" w:hAnsiTheme="minorHAnsi"/>
                <w:sz w:val="24"/>
                <w:szCs w:val="24"/>
                <w:lang w:val="en-GB" w:eastAsia="en-GB"/>
              </w:rPr>
            </w:pPr>
            <w:r w:rsidRPr="001F7E66">
              <w:rPr>
                <w:rFonts w:asciiTheme="minorHAnsi" w:eastAsia="Calibri" w:hAnsiTheme="minorHAnsi"/>
                <w:sz w:val="24"/>
                <w:szCs w:val="24"/>
                <w:lang w:val="en-GB" w:eastAsia="en-GB"/>
              </w:rPr>
              <w:t>54</w:t>
            </w:r>
          </w:p>
        </w:tc>
        <w:tc>
          <w:tcPr>
            <w:tcW w:w="796" w:type="dxa"/>
          </w:tcPr>
          <w:p w14:paraId="786BE23B" w14:textId="77777777" w:rsidR="000661B2" w:rsidRPr="001F7E66" w:rsidRDefault="000661B2" w:rsidP="00D572BB">
            <w:pPr>
              <w:jc w:val="both"/>
              <w:rPr>
                <w:rFonts w:asciiTheme="minorHAnsi" w:eastAsia="Calibri" w:hAnsiTheme="minorHAnsi"/>
                <w:sz w:val="24"/>
                <w:szCs w:val="24"/>
                <w:lang w:val="en-GB" w:eastAsia="en-GB"/>
              </w:rPr>
            </w:pPr>
            <w:r w:rsidRPr="001F7E66">
              <w:rPr>
                <w:rFonts w:asciiTheme="minorHAnsi" w:eastAsia="Calibri" w:hAnsiTheme="minorHAnsi"/>
                <w:sz w:val="24"/>
                <w:szCs w:val="24"/>
                <w:lang w:val="en-GB" w:eastAsia="en-GB"/>
              </w:rPr>
              <w:t>18</w:t>
            </w:r>
          </w:p>
        </w:tc>
        <w:tc>
          <w:tcPr>
            <w:tcW w:w="896" w:type="dxa"/>
          </w:tcPr>
          <w:p w14:paraId="5DD2E353" w14:textId="77777777" w:rsidR="000661B2" w:rsidRPr="001F7E66" w:rsidRDefault="000661B2" w:rsidP="00D572BB">
            <w:pPr>
              <w:jc w:val="both"/>
              <w:rPr>
                <w:rFonts w:asciiTheme="minorHAnsi" w:eastAsia="Calibri" w:hAnsiTheme="minorHAnsi"/>
                <w:sz w:val="24"/>
                <w:szCs w:val="24"/>
                <w:lang w:val="en-GB" w:eastAsia="en-GB"/>
              </w:rPr>
            </w:pPr>
            <w:r w:rsidRPr="001F7E66">
              <w:rPr>
                <w:rFonts w:asciiTheme="minorHAnsi" w:eastAsia="Calibri" w:hAnsiTheme="minorHAnsi"/>
                <w:sz w:val="24"/>
                <w:szCs w:val="24"/>
                <w:lang w:val="en-GB" w:eastAsia="en-GB"/>
              </w:rPr>
              <w:t>53</w:t>
            </w:r>
          </w:p>
        </w:tc>
        <w:tc>
          <w:tcPr>
            <w:tcW w:w="693" w:type="dxa"/>
          </w:tcPr>
          <w:p w14:paraId="7E67C496" w14:textId="77777777" w:rsidR="000661B2" w:rsidRPr="001F7E66" w:rsidRDefault="000661B2" w:rsidP="00D572BB">
            <w:pPr>
              <w:jc w:val="both"/>
              <w:rPr>
                <w:rFonts w:asciiTheme="minorHAnsi" w:eastAsia="Calibri" w:hAnsiTheme="minorHAnsi"/>
                <w:sz w:val="24"/>
                <w:szCs w:val="24"/>
                <w:lang w:val="en-GB" w:eastAsia="en-GB"/>
              </w:rPr>
            </w:pPr>
            <w:r w:rsidRPr="001F7E66">
              <w:rPr>
                <w:rFonts w:asciiTheme="minorHAnsi" w:eastAsia="Calibri" w:hAnsiTheme="minorHAnsi"/>
                <w:sz w:val="24"/>
                <w:szCs w:val="24"/>
                <w:lang w:val="en-GB" w:eastAsia="en-GB"/>
              </w:rPr>
              <w:t>25</w:t>
            </w:r>
          </w:p>
        </w:tc>
        <w:tc>
          <w:tcPr>
            <w:tcW w:w="693" w:type="dxa"/>
          </w:tcPr>
          <w:p w14:paraId="6DED9BBC" w14:textId="77777777" w:rsidR="000661B2" w:rsidRPr="001F7E66" w:rsidRDefault="000661B2" w:rsidP="00D572BB">
            <w:pPr>
              <w:jc w:val="both"/>
              <w:rPr>
                <w:rFonts w:asciiTheme="minorHAnsi" w:eastAsia="Calibri" w:hAnsiTheme="minorHAnsi"/>
                <w:sz w:val="24"/>
                <w:szCs w:val="24"/>
                <w:lang w:val="en-GB" w:eastAsia="en-GB"/>
              </w:rPr>
            </w:pPr>
            <w:r w:rsidRPr="001F7E66">
              <w:rPr>
                <w:rFonts w:asciiTheme="minorHAnsi" w:eastAsia="Calibri" w:hAnsiTheme="minorHAnsi"/>
                <w:sz w:val="24"/>
                <w:szCs w:val="24"/>
                <w:lang w:val="en-GB" w:eastAsia="en-GB"/>
              </w:rPr>
              <w:t>3</w:t>
            </w:r>
          </w:p>
        </w:tc>
        <w:tc>
          <w:tcPr>
            <w:tcW w:w="695" w:type="dxa"/>
          </w:tcPr>
          <w:p w14:paraId="4F7C7534" w14:textId="77777777" w:rsidR="000661B2" w:rsidRPr="001F7E66" w:rsidRDefault="000661B2" w:rsidP="00D572BB">
            <w:pPr>
              <w:jc w:val="both"/>
              <w:rPr>
                <w:rFonts w:asciiTheme="minorHAnsi" w:eastAsia="Calibri" w:hAnsiTheme="minorHAnsi"/>
                <w:sz w:val="24"/>
                <w:szCs w:val="24"/>
                <w:lang w:val="en-GB" w:eastAsia="en-GB"/>
              </w:rPr>
            </w:pPr>
            <w:r w:rsidRPr="001F7E66">
              <w:rPr>
                <w:rFonts w:asciiTheme="minorHAnsi" w:eastAsia="Calibri" w:hAnsiTheme="minorHAnsi"/>
                <w:sz w:val="24"/>
                <w:szCs w:val="24"/>
                <w:lang w:val="en-GB" w:eastAsia="en-GB"/>
              </w:rPr>
              <w:t>0</w:t>
            </w:r>
          </w:p>
        </w:tc>
        <w:tc>
          <w:tcPr>
            <w:tcW w:w="850" w:type="dxa"/>
          </w:tcPr>
          <w:p w14:paraId="74A93A1B" w14:textId="77777777" w:rsidR="000661B2" w:rsidRPr="001F7E66" w:rsidRDefault="000661B2" w:rsidP="00D572BB">
            <w:pPr>
              <w:jc w:val="both"/>
              <w:rPr>
                <w:rFonts w:asciiTheme="minorHAnsi" w:eastAsia="Calibri" w:hAnsiTheme="minorHAnsi"/>
                <w:sz w:val="24"/>
                <w:szCs w:val="24"/>
                <w:lang w:val="en-GB" w:eastAsia="en-GB"/>
              </w:rPr>
            </w:pPr>
            <w:r w:rsidRPr="001F7E66">
              <w:rPr>
                <w:rFonts w:asciiTheme="minorHAnsi" w:eastAsia="Calibri" w:hAnsiTheme="minorHAnsi"/>
                <w:sz w:val="24"/>
                <w:szCs w:val="24"/>
                <w:lang w:val="en-GB" w:eastAsia="en-GB"/>
              </w:rPr>
              <w:t>0</w:t>
            </w:r>
          </w:p>
        </w:tc>
        <w:tc>
          <w:tcPr>
            <w:tcW w:w="579" w:type="dxa"/>
          </w:tcPr>
          <w:p w14:paraId="1B27256E" w14:textId="77777777" w:rsidR="000661B2" w:rsidRPr="001F7E66" w:rsidRDefault="000661B2" w:rsidP="00D572BB">
            <w:pPr>
              <w:jc w:val="both"/>
              <w:rPr>
                <w:rFonts w:asciiTheme="minorHAnsi" w:eastAsia="Calibri" w:hAnsiTheme="minorHAnsi"/>
                <w:sz w:val="24"/>
                <w:szCs w:val="24"/>
                <w:lang w:val="en-GB" w:eastAsia="en-GB"/>
              </w:rPr>
            </w:pPr>
            <w:r w:rsidRPr="001F7E66">
              <w:rPr>
                <w:rFonts w:asciiTheme="minorHAnsi" w:eastAsia="Calibri" w:hAnsiTheme="minorHAnsi"/>
                <w:sz w:val="24"/>
                <w:szCs w:val="24"/>
                <w:lang w:val="en-GB" w:eastAsia="en-GB"/>
              </w:rPr>
              <w:t>1</w:t>
            </w:r>
          </w:p>
        </w:tc>
        <w:tc>
          <w:tcPr>
            <w:tcW w:w="574" w:type="dxa"/>
          </w:tcPr>
          <w:p w14:paraId="47D3BE1C" w14:textId="77777777" w:rsidR="000661B2" w:rsidRPr="001F7E66" w:rsidRDefault="000661B2" w:rsidP="00D572BB">
            <w:pPr>
              <w:jc w:val="both"/>
              <w:rPr>
                <w:rFonts w:asciiTheme="minorHAnsi" w:eastAsia="Calibri" w:hAnsiTheme="minorHAnsi"/>
                <w:sz w:val="24"/>
                <w:szCs w:val="24"/>
                <w:lang w:val="en-GB" w:eastAsia="en-GB"/>
              </w:rPr>
            </w:pPr>
            <w:r w:rsidRPr="001F7E66">
              <w:rPr>
                <w:rFonts w:asciiTheme="minorHAnsi" w:eastAsia="Calibri" w:hAnsiTheme="minorHAnsi"/>
                <w:sz w:val="24"/>
                <w:szCs w:val="24"/>
                <w:lang w:val="en-GB" w:eastAsia="en-GB"/>
              </w:rPr>
              <w:t>0</w:t>
            </w:r>
          </w:p>
        </w:tc>
        <w:tc>
          <w:tcPr>
            <w:tcW w:w="1399" w:type="dxa"/>
          </w:tcPr>
          <w:p w14:paraId="21310726" w14:textId="77777777" w:rsidR="000661B2" w:rsidRPr="001F7E66" w:rsidRDefault="000661B2" w:rsidP="00D572BB">
            <w:pPr>
              <w:jc w:val="both"/>
              <w:rPr>
                <w:rFonts w:asciiTheme="minorHAnsi" w:eastAsia="Calibri" w:hAnsiTheme="minorHAnsi"/>
                <w:sz w:val="24"/>
                <w:szCs w:val="24"/>
                <w:lang w:val="en-GB" w:eastAsia="en-GB"/>
              </w:rPr>
            </w:pPr>
            <w:r w:rsidRPr="001F7E66">
              <w:rPr>
                <w:rFonts w:asciiTheme="minorHAnsi" w:eastAsia="Calibri" w:hAnsiTheme="minorHAnsi"/>
                <w:sz w:val="24"/>
                <w:szCs w:val="24"/>
                <w:lang w:val="en-GB" w:eastAsia="en-GB"/>
              </w:rPr>
              <w:t>1</w:t>
            </w:r>
          </w:p>
        </w:tc>
        <w:tc>
          <w:tcPr>
            <w:tcW w:w="850" w:type="dxa"/>
            <w:shd w:val="clear" w:color="auto" w:fill="D0CECE" w:themeFill="background2" w:themeFillShade="E6"/>
          </w:tcPr>
          <w:p w14:paraId="70EC0183" w14:textId="77777777" w:rsidR="000661B2" w:rsidRPr="001F7E66" w:rsidRDefault="000661B2" w:rsidP="00D572BB">
            <w:pPr>
              <w:jc w:val="both"/>
              <w:rPr>
                <w:rFonts w:asciiTheme="minorHAnsi" w:eastAsia="Calibri" w:hAnsiTheme="minorHAnsi"/>
                <w:sz w:val="24"/>
                <w:szCs w:val="24"/>
                <w:lang w:val="en-GB" w:eastAsia="en-GB"/>
              </w:rPr>
            </w:pPr>
            <w:r w:rsidRPr="001F7E66">
              <w:rPr>
                <w:rFonts w:asciiTheme="minorHAnsi" w:eastAsia="Calibri" w:hAnsiTheme="minorHAnsi"/>
                <w:sz w:val="24"/>
                <w:szCs w:val="24"/>
                <w:lang w:val="en-GB" w:eastAsia="en-GB"/>
              </w:rPr>
              <w:t>155</w:t>
            </w:r>
          </w:p>
        </w:tc>
      </w:tr>
      <w:tr w:rsidR="000661B2" w:rsidRPr="001F7E66" w14:paraId="1509715F" w14:textId="77777777" w:rsidTr="00D572BB">
        <w:tc>
          <w:tcPr>
            <w:tcW w:w="851" w:type="dxa"/>
          </w:tcPr>
          <w:p w14:paraId="70748041" w14:textId="77777777" w:rsidR="000661B2" w:rsidRPr="001F7E66" w:rsidRDefault="000661B2" w:rsidP="00D572BB">
            <w:pPr>
              <w:jc w:val="both"/>
              <w:rPr>
                <w:rFonts w:asciiTheme="minorHAnsi" w:eastAsia="Calibri" w:hAnsiTheme="minorHAnsi"/>
                <w:b/>
                <w:sz w:val="24"/>
                <w:szCs w:val="24"/>
                <w:lang w:val="en-GB" w:eastAsia="en-GB"/>
              </w:rPr>
            </w:pPr>
            <w:r w:rsidRPr="001F7E66">
              <w:rPr>
                <w:rFonts w:asciiTheme="minorHAnsi" w:eastAsia="Calibri" w:hAnsiTheme="minorHAnsi"/>
                <w:b/>
                <w:sz w:val="24"/>
                <w:szCs w:val="24"/>
                <w:lang w:val="en-GB" w:eastAsia="en-GB"/>
              </w:rPr>
              <w:t>2005</w:t>
            </w:r>
          </w:p>
        </w:tc>
        <w:tc>
          <w:tcPr>
            <w:tcW w:w="763" w:type="dxa"/>
          </w:tcPr>
          <w:p w14:paraId="40693BA5" w14:textId="77777777" w:rsidR="000661B2" w:rsidRPr="001F7E66" w:rsidRDefault="000661B2" w:rsidP="00D572BB">
            <w:pPr>
              <w:jc w:val="both"/>
              <w:rPr>
                <w:rFonts w:asciiTheme="minorHAnsi" w:eastAsia="Calibri" w:hAnsiTheme="minorHAnsi"/>
                <w:sz w:val="24"/>
                <w:szCs w:val="24"/>
                <w:lang w:val="en-GB" w:eastAsia="en-GB"/>
              </w:rPr>
            </w:pPr>
            <w:r w:rsidRPr="001F7E66">
              <w:rPr>
                <w:rFonts w:asciiTheme="minorHAnsi" w:eastAsia="Calibri" w:hAnsiTheme="minorHAnsi"/>
                <w:sz w:val="24"/>
                <w:szCs w:val="24"/>
                <w:lang w:val="en-GB" w:eastAsia="en-GB"/>
              </w:rPr>
              <w:t>221</w:t>
            </w:r>
          </w:p>
        </w:tc>
        <w:tc>
          <w:tcPr>
            <w:tcW w:w="796" w:type="dxa"/>
          </w:tcPr>
          <w:p w14:paraId="2021F080" w14:textId="77777777" w:rsidR="000661B2" w:rsidRPr="001F7E66" w:rsidRDefault="000661B2" w:rsidP="00D572BB">
            <w:pPr>
              <w:jc w:val="both"/>
              <w:rPr>
                <w:rFonts w:asciiTheme="minorHAnsi" w:eastAsia="Calibri" w:hAnsiTheme="minorHAnsi"/>
                <w:sz w:val="24"/>
                <w:szCs w:val="24"/>
                <w:lang w:val="en-GB" w:eastAsia="en-GB"/>
              </w:rPr>
            </w:pPr>
            <w:r w:rsidRPr="001F7E66">
              <w:rPr>
                <w:rFonts w:asciiTheme="minorHAnsi" w:eastAsia="Calibri" w:hAnsiTheme="minorHAnsi"/>
                <w:sz w:val="24"/>
                <w:szCs w:val="24"/>
                <w:lang w:val="en-GB" w:eastAsia="en-GB"/>
              </w:rPr>
              <w:t>80</w:t>
            </w:r>
          </w:p>
        </w:tc>
        <w:tc>
          <w:tcPr>
            <w:tcW w:w="896" w:type="dxa"/>
          </w:tcPr>
          <w:p w14:paraId="511423E2" w14:textId="77777777" w:rsidR="000661B2" w:rsidRPr="001F7E66" w:rsidRDefault="000661B2" w:rsidP="00D572BB">
            <w:pPr>
              <w:jc w:val="both"/>
              <w:rPr>
                <w:rFonts w:asciiTheme="minorHAnsi" w:eastAsia="Calibri" w:hAnsiTheme="minorHAnsi"/>
                <w:sz w:val="24"/>
                <w:szCs w:val="24"/>
                <w:lang w:val="en-GB" w:eastAsia="en-GB"/>
              </w:rPr>
            </w:pPr>
            <w:r w:rsidRPr="001F7E66">
              <w:rPr>
                <w:rFonts w:asciiTheme="minorHAnsi" w:eastAsia="Calibri" w:hAnsiTheme="minorHAnsi"/>
                <w:sz w:val="24"/>
                <w:szCs w:val="24"/>
                <w:lang w:val="en-GB" w:eastAsia="en-GB"/>
              </w:rPr>
              <w:t>58</w:t>
            </w:r>
          </w:p>
        </w:tc>
        <w:tc>
          <w:tcPr>
            <w:tcW w:w="693" w:type="dxa"/>
          </w:tcPr>
          <w:p w14:paraId="0CB17696" w14:textId="77777777" w:rsidR="000661B2" w:rsidRPr="001F7E66" w:rsidRDefault="000661B2" w:rsidP="00D572BB">
            <w:pPr>
              <w:jc w:val="both"/>
              <w:rPr>
                <w:rFonts w:asciiTheme="minorHAnsi" w:eastAsia="Calibri" w:hAnsiTheme="minorHAnsi"/>
                <w:sz w:val="24"/>
                <w:szCs w:val="24"/>
                <w:lang w:val="en-GB" w:eastAsia="en-GB"/>
              </w:rPr>
            </w:pPr>
            <w:r w:rsidRPr="001F7E66">
              <w:rPr>
                <w:rFonts w:asciiTheme="minorHAnsi" w:eastAsia="Calibri" w:hAnsiTheme="minorHAnsi"/>
                <w:sz w:val="24"/>
                <w:szCs w:val="24"/>
                <w:lang w:val="en-GB" w:eastAsia="en-GB"/>
              </w:rPr>
              <w:t>23</w:t>
            </w:r>
          </w:p>
        </w:tc>
        <w:tc>
          <w:tcPr>
            <w:tcW w:w="693" w:type="dxa"/>
          </w:tcPr>
          <w:p w14:paraId="0F1F1809" w14:textId="77777777" w:rsidR="000661B2" w:rsidRPr="001F7E66" w:rsidRDefault="000661B2" w:rsidP="00D572BB">
            <w:pPr>
              <w:jc w:val="both"/>
              <w:rPr>
                <w:rFonts w:asciiTheme="minorHAnsi" w:eastAsia="Calibri" w:hAnsiTheme="minorHAnsi"/>
                <w:sz w:val="24"/>
                <w:szCs w:val="24"/>
                <w:lang w:val="en-GB" w:eastAsia="en-GB"/>
              </w:rPr>
            </w:pPr>
            <w:r w:rsidRPr="001F7E66">
              <w:rPr>
                <w:rFonts w:asciiTheme="minorHAnsi" w:eastAsia="Calibri" w:hAnsiTheme="minorHAnsi"/>
                <w:sz w:val="24"/>
                <w:szCs w:val="24"/>
                <w:lang w:val="en-GB" w:eastAsia="en-GB"/>
              </w:rPr>
              <w:t>11</w:t>
            </w:r>
          </w:p>
        </w:tc>
        <w:tc>
          <w:tcPr>
            <w:tcW w:w="695" w:type="dxa"/>
          </w:tcPr>
          <w:p w14:paraId="36E9C5F2" w14:textId="77777777" w:rsidR="000661B2" w:rsidRPr="001F7E66" w:rsidRDefault="000661B2" w:rsidP="00D572BB">
            <w:pPr>
              <w:jc w:val="both"/>
              <w:rPr>
                <w:rFonts w:asciiTheme="minorHAnsi" w:eastAsia="Calibri" w:hAnsiTheme="minorHAnsi"/>
                <w:sz w:val="24"/>
                <w:szCs w:val="24"/>
                <w:lang w:val="en-GB" w:eastAsia="en-GB"/>
              </w:rPr>
            </w:pPr>
            <w:r w:rsidRPr="001F7E66">
              <w:rPr>
                <w:rFonts w:asciiTheme="minorHAnsi" w:eastAsia="Calibri" w:hAnsiTheme="minorHAnsi"/>
                <w:sz w:val="24"/>
                <w:szCs w:val="24"/>
                <w:lang w:val="en-GB" w:eastAsia="en-GB"/>
              </w:rPr>
              <w:t>7</w:t>
            </w:r>
          </w:p>
        </w:tc>
        <w:tc>
          <w:tcPr>
            <w:tcW w:w="850" w:type="dxa"/>
          </w:tcPr>
          <w:p w14:paraId="415BA2FD" w14:textId="77777777" w:rsidR="000661B2" w:rsidRPr="001F7E66" w:rsidRDefault="000661B2" w:rsidP="00D572BB">
            <w:pPr>
              <w:jc w:val="both"/>
              <w:rPr>
                <w:rFonts w:asciiTheme="minorHAnsi" w:eastAsia="Calibri" w:hAnsiTheme="minorHAnsi"/>
                <w:sz w:val="24"/>
                <w:szCs w:val="24"/>
                <w:lang w:val="en-GB" w:eastAsia="en-GB"/>
              </w:rPr>
            </w:pPr>
            <w:r w:rsidRPr="001F7E66">
              <w:rPr>
                <w:rFonts w:asciiTheme="minorHAnsi" w:eastAsia="Calibri" w:hAnsiTheme="minorHAnsi"/>
                <w:sz w:val="24"/>
                <w:szCs w:val="24"/>
                <w:lang w:val="en-GB" w:eastAsia="en-GB"/>
              </w:rPr>
              <w:t>1</w:t>
            </w:r>
          </w:p>
        </w:tc>
        <w:tc>
          <w:tcPr>
            <w:tcW w:w="579" w:type="dxa"/>
          </w:tcPr>
          <w:p w14:paraId="7388A816" w14:textId="77777777" w:rsidR="000661B2" w:rsidRPr="001F7E66" w:rsidRDefault="000661B2" w:rsidP="00D572BB">
            <w:pPr>
              <w:jc w:val="both"/>
              <w:rPr>
                <w:rFonts w:asciiTheme="minorHAnsi" w:eastAsia="Calibri" w:hAnsiTheme="minorHAnsi"/>
                <w:sz w:val="24"/>
                <w:szCs w:val="24"/>
                <w:lang w:val="en-GB" w:eastAsia="en-GB"/>
              </w:rPr>
            </w:pPr>
            <w:r w:rsidRPr="001F7E66">
              <w:rPr>
                <w:rFonts w:asciiTheme="minorHAnsi" w:eastAsia="Calibri" w:hAnsiTheme="minorHAnsi"/>
                <w:sz w:val="24"/>
                <w:szCs w:val="24"/>
                <w:lang w:val="en-GB" w:eastAsia="en-GB"/>
              </w:rPr>
              <w:t>1</w:t>
            </w:r>
          </w:p>
        </w:tc>
        <w:tc>
          <w:tcPr>
            <w:tcW w:w="574" w:type="dxa"/>
          </w:tcPr>
          <w:p w14:paraId="5CA54E93" w14:textId="77777777" w:rsidR="000661B2" w:rsidRPr="001F7E66" w:rsidRDefault="000661B2" w:rsidP="00D572BB">
            <w:pPr>
              <w:jc w:val="both"/>
              <w:rPr>
                <w:rFonts w:asciiTheme="minorHAnsi" w:eastAsia="Calibri" w:hAnsiTheme="minorHAnsi"/>
                <w:sz w:val="24"/>
                <w:szCs w:val="24"/>
                <w:lang w:val="en-GB" w:eastAsia="en-GB"/>
              </w:rPr>
            </w:pPr>
            <w:r w:rsidRPr="001F7E66">
              <w:rPr>
                <w:rFonts w:asciiTheme="minorHAnsi" w:eastAsia="Calibri" w:hAnsiTheme="minorHAnsi"/>
                <w:sz w:val="24"/>
                <w:szCs w:val="24"/>
                <w:lang w:val="en-GB" w:eastAsia="en-GB"/>
              </w:rPr>
              <w:t>0</w:t>
            </w:r>
          </w:p>
        </w:tc>
        <w:tc>
          <w:tcPr>
            <w:tcW w:w="1399" w:type="dxa"/>
          </w:tcPr>
          <w:p w14:paraId="4CC43D89" w14:textId="77777777" w:rsidR="000661B2" w:rsidRPr="001F7E66" w:rsidRDefault="000661B2" w:rsidP="00D572BB">
            <w:pPr>
              <w:jc w:val="both"/>
              <w:rPr>
                <w:rFonts w:asciiTheme="minorHAnsi" w:eastAsia="Calibri" w:hAnsiTheme="minorHAnsi"/>
                <w:sz w:val="24"/>
                <w:szCs w:val="24"/>
                <w:lang w:val="en-GB" w:eastAsia="en-GB"/>
              </w:rPr>
            </w:pPr>
            <w:r w:rsidRPr="001F7E66">
              <w:rPr>
                <w:rFonts w:asciiTheme="minorHAnsi" w:eastAsia="Calibri" w:hAnsiTheme="minorHAnsi"/>
                <w:sz w:val="24"/>
                <w:szCs w:val="24"/>
                <w:lang w:val="en-GB" w:eastAsia="en-GB"/>
              </w:rPr>
              <w:t>0</w:t>
            </w:r>
          </w:p>
        </w:tc>
        <w:tc>
          <w:tcPr>
            <w:tcW w:w="850" w:type="dxa"/>
            <w:shd w:val="clear" w:color="auto" w:fill="D0CECE" w:themeFill="background2" w:themeFillShade="E6"/>
          </w:tcPr>
          <w:p w14:paraId="1F798C56" w14:textId="77777777" w:rsidR="000661B2" w:rsidRPr="001F7E66" w:rsidRDefault="000661B2" w:rsidP="00D572BB">
            <w:pPr>
              <w:jc w:val="both"/>
              <w:rPr>
                <w:rFonts w:asciiTheme="minorHAnsi" w:eastAsia="Calibri" w:hAnsiTheme="minorHAnsi"/>
                <w:sz w:val="24"/>
                <w:szCs w:val="24"/>
                <w:lang w:val="en-GB" w:eastAsia="en-GB"/>
              </w:rPr>
            </w:pPr>
            <w:r w:rsidRPr="001F7E66">
              <w:rPr>
                <w:rFonts w:asciiTheme="minorHAnsi" w:eastAsia="Calibri" w:hAnsiTheme="minorHAnsi"/>
                <w:sz w:val="24"/>
                <w:szCs w:val="24"/>
                <w:lang w:val="en-GB" w:eastAsia="en-GB"/>
              </w:rPr>
              <w:t>402</w:t>
            </w:r>
          </w:p>
        </w:tc>
      </w:tr>
      <w:tr w:rsidR="000661B2" w:rsidRPr="001F7E66" w14:paraId="23152EC9" w14:textId="77777777" w:rsidTr="00D572BB">
        <w:tc>
          <w:tcPr>
            <w:tcW w:w="851" w:type="dxa"/>
          </w:tcPr>
          <w:p w14:paraId="264F10D8" w14:textId="77777777" w:rsidR="000661B2" w:rsidRPr="001F7E66" w:rsidRDefault="000661B2" w:rsidP="00D572BB">
            <w:pPr>
              <w:jc w:val="both"/>
              <w:rPr>
                <w:rFonts w:asciiTheme="minorHAnsi" w:eastAsia="Calibri" w:hAnsiTheme="minorHAnsi"/>
                <w:b/>
                <w:sz w:val="24"/>
                <w:szCs w:val="24"/>
                <w:lang w:val="en-GB" w:eastAsia="en-GB"/>
              </w:rPr>
            </w:pPr>
            <w:r w:rsidRPr="001F7E66">
              <w:rPr>
                <w:rFonts w:asciiTheme="minorHAnsi" w:eastAsia="Calibri" w:hAnsiTheme="minorHAnsi"/>
                <w:b/>
                <w:sz w:val="24"/>
                <w:szCs w:val="24"/>
                <w:lang w:val="en-GB" w:eastAsia="en-GB"/>
              </w:rPr>
              <w:t>2012</w:t>
            </w:r>
          </w:p>
        </w:tc>
        <w:tc>
          <w:tcPr>
            <w:tcW w:w="763" w:type="dxa"/>
            <w:shd w:val="clear" w:color="auto" w:fill="FFFFFF" w:themeFill="background1"/>
          </w:tcPr>
          <w:p w14:paraId="42460550" w14:textId="77777777" w:rsidR="000661B2" w:rsidRPr="001F7E66" w:rsidRDefault="000661B2" w:rsidP="00D572BB">
            <w:pPr>
              <w:jc w:val="both"/>
              <w:rPr>
                <w:rFonts w:asciiTheme="minorHAnsi" w:eastAsia="Calibri" w:hAnsiTheme="minorHAnsi"/>
                <w:sz w:val="24"/>
                <w:szCs w:val="24"/>
                <w:lang w:val="en-GB" w:eastAsia="en-GB"/>
              </w:rPr>
            </w:pPr>
            <w:r w:rsidRPr="001F7E66">
              <w:rPr>
                <w:rFonts w:asciiTheme="minorHAnsi" w:eastAsia="Calibri" w:hAnsiTheme="minorHAnsi"/>
                <w:sz w:val="24"/>
                <w:szCs w:val="24"/>
                <w:lang w:val="en-GB" w:eastAsia="en-GB"/>
              </w:rPr>
              <w:t>1,736</w:t>
            </w:r>
          </w:p>
        </w:tc>
        <w:tc>
          <w:tcPr>
            <w:tcW w:w="796" w:type="dxa"/>
            <w:shd w:val="clear" w:color="auto" w:fill="FFFFFF" w:themeFill="background1"/>
          </w:tcPr>
          <w:p w14:paraId="1346958C" w14:textId="77777777" w:rsidR="000661B2" w:rsidRPr="001F7E66" w:rsidRDefault="000661B2" w:rsidP="00D572BB">
            <w:pPr>
              <w:jc w:val="both"/>
              <w:rPr>
                <w:rFonts w:asciiTheme="minorHAnsi" w:eastAsia="Calibri" w:hAnsiTheme="minorHAnsi"/>
                <w:sz w:val="24"/>
                <w:szCs w:val="24"/>
                <w:lang w:val="en-GB" w:eastAsia="en-GB"/>
              </w:rPr>
            </w:pPr>
            <w:r w:rsidRPr="001F7E66">
              <w:rPr>
                <w:rFonts w:asciiTheme="minorHAnsi" w:eastAsia="Calibri" w:hAnsiTheme="minorHAnsi"/>
                <w:sz w:val="24"/>
                <w:szCs w:val="24"/>
                <w:lang w:val="en-GB" w:eastAsia="en-GB"/>
              </w:rPr>
              <w:t>171</w:t>
            </w:r>
          </w:p>
        </w:tc>
        <w:tc>
          <w:tcPr>
            <w:tcW w:w="896" w:type="dxa"/>
            <w:shd w:val="clear" w:color="auto" w:fill="FFFFFF" w:themeFill="background1"/>
          </w:tcPr>
          <w:p w14:paraId="15E3DA47" w14:textId="77777777" w:rsidR="000661B2" w:rsidRPr="001F7E66" w:rsidRDefault="000661B2" w:rsidP="00D572BB">
            <w:pPr>
              <w:jc w:val="both"/>
              <w:rPr>
                <w:rFonts w:asciiTheme="minorHAnsi" w:eastAsia="Calibri" w:hAnsiTheme="minorHAnsi"/>
                <w:sz w:val="24"/>
                <w:szCs w:val="24"/>
                <w:lang w:val="en-GB" w:eastAsia="en-GB"/>
              </w:rPr>
            </w:pPr>
            <w:r w:rsidRPr="001F7E66">
              <w:rPr>
                <w:rFonts w:asciiTheme="minorHAnsi" w:eastAsia="Calibri" w:hAnsiTheme="minorHAnsi"/>
                <w:sz w:val="24"/>
                <w:szCs w:val="24"/>
                <w:lang w:val="en-GB" w:eastAsia="en-GB"/>
              </w:rPr>
              <w:t>121</w:t>
            </w:r>
          </w:p>
        </w:tc>
        <w:tc>
          <w:tcPr>
            <w:tcW w:w="693" w:type="dxa"/>
          </w:tcPr>
          <w:p w14:paraId="61399508" w14:textId="77777777" w:rsidR="000661B2" w:rsidRPr="001F7E66" w:rsidRDefault="000661B2" w:rsidP="00D572BB">
            <w:pPr>
              <w:jc w:val="both"/>
              <w:rPr>
                <w:rFonts w:asciiTheme="minorHAnsi" w:eastAsia="Calibri" w:hAnsiTheme="minorHAnsi"/>
                <w:sz w:val="24"/>
                <w:szCs w:val="24"/>
                <w:lang w:val="en-GB" w:eastAsia="en-GB"/>
              </w:rPr>
            </w:pPr>
            <w:r w:rsidRPr="001F7E66">
              <w:rPr>
                <w:rFonts w:asciiTheme="minorHAnsi" w:eastAsia="Calibri" w:hAnsiTheme="minorHAnsi"/>
                <w:sz w:val="24"/>
                <w:szCs w:val="24"/>
                <w:lang w:val="en-GB" w:eastAsia="en-GB"/>
              </w:rPr>
              <w:t>23</w:t>
            </w:r>
          </w:p>
        </w:tc>
        <w:tc>
          <w:tcPr>
            <w:tcW w:w="693" w:type="dxa"/>
          </w:tcPr>
          <w:p w14:paraId="7917396E" w14:textId="77777777" w:rsidR="000661B2" w:rsidRPr="001F7E66" w:rsidRDefault="000661B2" w:rsidP="00D572BB">
            <w:pPr>
              <w:jc w:val="both"/>
              <w:rPr>
                <w:rFonts w:asciiTheme="minorHAnsi" w:eastAsia="Calibri" w:hAnsiTheme="minorHAnsi"/>
                <w:sz w:val="24"/>
                <w:szCs w:val="24"/>
                <w:lang w:val="en-GB" w:eastAsia="en-GB"/>
              </w:rPr>
            </w:pPr>
            <w:r w:rsidRPr="001F7E66">
              <w:rPr>
                <w:rFonts w:asciiTheme="minorHAnsi" w:eastAsia="Calibri" w:hAnsiTheme="minorHAnsi"/>
                <w:sz w:val="24"/>
                <w:szCs w:val="24"/>
                <w:lang w:val="en-GB" w:eastAsia="en-GB"/>
              </w:rPr>
              <w:t>23</w:t>
            </w:r>
          </w:p>
        </w:tc>
        <w:tc>
          <w:tcPr>
            <w:tcW w:w="695" w:type="dxa"/>
          </w:tcPr>
          <w:p w14:paraId="0B0335E3" w14:textId="77777777" w:rsidR="000661B2" w:rsidRPr="001F7E66" w:rsidRDefault="000661B2" w:rsidP="00D572BB">
            <w:pPr>
              <w:jc w:val="both"/>
              <w:rPr>
                <w:rFonts w:asciiTheme="minorHAnsi" w:eastAsia="Calibri" w:hAnsiTheme="minorHAnsi"/>
                <w:sz w:val="24"/>
                <w:szCs w:val="24"/>
                <w:lang w:val="en-GB" w:eastAsia="en-GB"/>
              </w:rPr>
            </w:pPr>
            <w:r w:rsidRPr="001F7E66">
              <w:rPr>
                <w:rFonts w:asciiTheme="minorHAnsi" w:eastAsia="Calibri" w:hAnsiTheme="minorHAnsi"/>
                <w:sz w:val="24"/>
                <w:szCs w:val="24"/>
                <w:lang w:val="en-GB" w:eastAsia="en-GB"/>
              </w:rPr>
              <w:t>11</w:t>
            </w:r>
          </w:p>
        </w:tc>
        <w:tc>
          <w:tcPr>
            <w:tcW w:w="850" w:type="dxa"/>
          </w:tcPr>
          <w:p w14:paraId="153701EF" w14:textId="77777777" w:rsidR="000661B2" w:rsidRPr="001F7E66" w:rsidRDefault="000661B2" w:rsidP="00D572BB">
            <w:pPr>
              <w:jc w:val="both"/>
              <w:rPr>
                <w:rFonts w:asciiTheme="minorHAnsi" w:eastAsia="Calibri" w:hAnsiTheme="minorHAnsi"/>
                <w:sz w:val="24"/>
                <w:szCs w:val="24"/>
                <w:lang w:val="en-GB" w:eastAsia="en-GB"/>
              </w:rPr>
            </w:pPr>
            <w:r w:rsidRPr="001F7E66">
              <w:rPr>
                <w:rFonts w:asciiTheme="minorHAnsi" w:eastAsia="Calibri" w:hAnsiTheme="minorHAnsi"/>
                <w:sz w:val="24"/>
                <w:szCs w:val="24"/>
                <w:lang w:val="en-GB" w:eastAsia="en-GB"/>
              </w:rPr>
              <w:t>7</w:t>
            </w:r>
          </w:p>
        </w:tc>
        <w:tc>
          <w:tcPr>
            <w:tcW w:w="579" w:type="dxa"/>
          </w:tcPr>
          <w:p w14:paraId="7A51F7B3" w14:textId="77777777" w:rsidR="000661B2" w:rsidRPr="001F7E66" w:rsidRDefault="000661B2" w:rsidP="00D572BB">
            <w:pPr>
              <w:jc w:val="both"/>
              <w:rPr>
                <w:rFonts w:asciiTheme="minorHAnsi" w:eastAsia="Calibri" w:hAnsiTheme="minorHAnsi"/>
                <w:sz w:val="24"/>
                <w:szCs w:val="24"/>
                <w:lang w:val="en-GB" w:eastAsia="en-GB"/>
              </w:rPr>
            </w:pPr>
            <w:r w:rsidRPr="001F7E66">
              <w:rPr>
                <w:rFonts w:asciiTheme="minorHAnsi" w:eastAsia="Calibri" w:hAnsiTheme="minorHAnsi"/>
                <w:sz w:val="24"/>
                <w:szCs w:val="24"/>
                <w:lang w:val="en-GB" w:eastAsia="en-GB"/>
              </w:rPr>
              <w:t>0</w:t>
            </w:r>
          </w:p>
        </w:tc>
        <w:tc>
          <w:tcPr>
            <w:tcW w:w="574" w:type="dxa"/>
          </w:tcPr>
          <w:p w14:paraId="359891FA" w14:textId="77777777" w:rsidR="000661B2" w:rsidRPr="001F7E66" w:rsidRDefault="000661B2" w:rsidP="00D572BB">
            <w:pPr>
              <w:jc w:val="both"/>
              <w:rPr>
                <w:rFonts w:asciiTheme="minorHAnsi" w:eastAsia="Calibri" w:hAnsiTheme="minorHAnsi"/>
                <w:sz w:val="24"/>
                <w:szCs w:val="24"/>
                <w:lang w:val="en-GB" w:eastAsia="en-GB"/>
              </w:rPr>
            </w:pPr>
            <w:r w:rsidRPr="001F7E66">
              <w:rPr>
                <w:rFonts w:asciiTheme="minorHAnsi" w:eastAsia="Calibri" w:hAnsiTheme="minorHAnsi"/>
                <w:sz w:val="24"/>
                <w:szCs w:val="24"/>
                <w:lang w:val="en-GB" w:eastAsia="en-GB"/>
              </w:rPr>
              <w:t>0</w:t>
            </w:r>
          </w:p>
        </w:tc>
        <w:tc>
          <w:tcPr>
            <w:tcW w:w="1399" w:type="dxa"/>
          </w:tcPr>
          <w:p w14:paraId="3924F8B7" w14:textId="77777777" w:rsidR="000661B2" w:rsidRPr="001F7E66" w:rsidRDefault="000661B2" w:rsidP="00D572BB">
            <w:pPr>
              <w:jc w:val="both"/>
              <w:rPr>
                <w:rFonts w:asciiTheme="minorHAnsi" w:eastAsia="Calibri" w:hAnsiTheme="minorHAnsi"/>
                <w:sz w:val="24"/>
                <w:szCs w:val="24"/>
                <w:lang w:val="en-GB" w:eastAsia="en-GB"/>
              </w:rPr>
            </w:pPr>
            <w:r w:rsidRPr="001F7E66">
              <w:rPr>
                <w:rFonts w:asciiTheme="minorHAnsi" w:eastAsia="Calibri" w:hAnsiTheme="minorHAnsi"/>
                <w:sz w:val="24"/>
                <w:szCs w:val="24"/>
                <w:lang w:val="en-GB" w:eastAsia="en-GB"/>
              </w:rPr>
              <w:t>0</w:t>
            </w:r>
          </w:p>
        </w:tc>
        <w:tc>
          <w:tcPr>
            <w:tcW w:w="850" w:type="dxa"/>
            <w:shd w:val="clear" w:color="auto" w:fill="D0CECE" w:themeFill="background2" w:themeFillShade="E6"/>
          </w:tcPr>
          <w:p w14:paraId="5A66569A" w14:textId="77777777" w:rsidR="000661B2" w:rsidRPr="001F7E66" w:rsidRDefault="000661B2" w:rsidP="00D572BB">
            <w:pPr>
              <w:jc w:val="both"/>
              <w:rPr>
                <w:rFonts w:asciiTheme="minorHAnsi" w:eastAsia="Calibri" w:hAnsiTheme="minorHAnsi"/>
                <w:sz w:val="24"/>
                <w:szCs w:val="24"/>
                <w:lang w:val="en-GB" w:eastAsia="en-GB"/>
              </w:rPr>
            </w:pPr>
            <w:r w:rsidRPr="001F7E66">
              <w:rPr>
                <w:rFonts w:asciiTheme="minorHAnsi" w:eastAsia="Calibri" w:hAnsiTheme="minorHAnsi"/>
                <w:sz w:val="24"/>
                <w:szCs w:val="24"/>
                <w:lang w:val="en-GB" w:eastAsia="en-GB"/>
              </w:rPr>
              <w:t>2,092</w:t>
            </w:r>
          </w:p>
        </w:tc>
      </w:tr>
    </w:tbl>
    <w:p w14:paraId="7EB08A84" w14:textId="77777777" w:rsidR="000661B2" w:rsidRPr="001F7E66" w:rsidRDefault="000661B2" w:rsidP="000661B2">
      <w:pPr>
        <w:spacing w:after="0" w:line="240" w:lineRule="auto"/>
        <w:jc w:val="both"/>
        <w:rPr>
          <w:rFonts w:eastAsia="Calibri" w:cs="Times New Roman"/>
          <w:sz w:val="24"/>
          <w:szCs w:val="24"/>
          <w:lang w:val="en-GB" w:eastAsia="en-GB"/>
        </w:rPr>
      </w:pPr>
      <w:r w:rsidRPr="001F7E66">
        <w:rPr>
          <w:sz w:val="24"/>
          <w:szCs w:val="24"/>
        </w:rPr>
        <w:t xml:space="preserve">Source: Inspector of Prisons, </w:t>
      </w:r>
      <w:r w:rsidRPr="001F7E66">
        <w:rPr>
          <w:i/>
          <w:sz w:val="24"/>
          <w:szCs w:val="24"/>
        </w:rPr>
        <w:t xml:space="preserve">Interim Report on the </w:t>
      </w:r>
      <w:proofErr w:type="spellStart"/>
      <w:r w:rsidRPr="001F7E66">
        <w:rPr>
          <w:i/>
          <w:sz w:val="24"/>
          <w:szCs w:val="24"/>
        </w:rPr>
        <w:t>Dóchas</w:t>
      </w:r>
      <w:proofErr w:type="spellEnd"/>
      <w:r w:rsidRPr="001F7E66">
        <w:rPr>
          <w:i/>
          <w:sz w:val="24"/>
          <w:szCs w:val="24"/>
        </w:rPr>
        <w:t xml:space="preserve"> Centre</w:t>
      </w:r>
      <w:r w:rsidRPr="001F7E66">
        <w:rPr>
          <w:sz w:val="24"/>
          <w:szCs w:val="24"/>
        </w:rPr>
        <w:t>, Chapter 2 at para 2.9</w:t>
      </w:r>
    </w:p>
    <w:p w14:paraId="51B0379F" w14:textId="77777777" w:rsidR="003A3E7B" w:rsidRDefault="003A3E7B" w:rsidP="000661B2">
      <w:pPr>
        <w:spacing w:after="100" w:line="240" w:lineRule="auto"/>
        <w:jc w:val="both"/>
        <w:rPr>
          <w:b/>
          <w:i/>
          <w:sz w:val="24"/>
          <w:szCs w:val="24"/>
        </w:rPr>
      </w:pPr>
    </w:p>
    <w:p w14:paraId="5639D1A2" w14:textId="032C1796" w:rsidR="000661B2" w:rsidRPr="000661B2" w:rsidRDefault="000661B2" w:rsidP="000661B2">
      <w:pPr>
        <w:spacing w:after="100" w:line="240" w:lineRule="auto"/>
        <w:jc w:val="both"/>
        <w:rPr>
          <w:b/>
          <w:i/>
          <w:sz w:val="24"/>
          <w:szCs w:val="24"/>
        </w:rPr>
      </w:pPr>
      <w:r>
        <w:rPr>
          <w:b/>
          <w:i/>
          <w:sz w:val="24"/>
          <w:szCs w:val="24"/>
        </w:rPr>
        <w:t>Lack of gender specific non-custodial alternatives</w:t>
      </w:r>
    </w:p>
    <w:p w14:paraId="125AABCD" w14:textId="77777777" w:rsidR="003A3E7B" w:rsidRDefault="00A870FA" w:rsidP="003A3E7B">
      <w:pPr>
        <w:spacing w:after="100" w:line="240" w:lineRule="auto"/>
        <w:jc w:val="both"/>
        <w:rPr>
          <w:sz w:val="24"/>
          <w:szCs w:val="24"/>
        </w:rPr>
      </w:pPr>
      <w:r w:rsidRPr="001F7E66">
        <w:rPr>
          <w:sz w:val="24"/>
          <w:szCs w:val="24"/>
        </w:rPr>
        <w:t>Gender equality with regards to the penal system does not mean that everyone should be treated in an identical manner, but refers to ‘treatment as an equal’.</w:t>
      </w:r>
      <w:r w:rsidRPr="001F7E66">
        <w:rPr>
          <w:rStyle w:val="FootnoteReference"/>
          <w:sz w:val="24"/>
          <w:szCs w:val="24"/>
        </w:rPr>
        <w:footnoteReference w:id="14"/>
      </w:r>
      <w:r w:rsidRPr="001F7E66">
        <w:rPr>
          <w:sz w:val="24"/>
          <w:szCs w:val="24"/>
        </w:rPr>
        <w:t xml:space="preserve"> </w:t>
      </w:r>
      <w:r w:rsidR="005F782F">
        <w:rPr>
          <w:sz w:val="24"/>
          <w:szCs w:val="24"/>
        </w:rPr>
        <w:t>F</w:t>
      </w:r>
      <w:r w:rsidRPr="001F7E66">
        <w:rPr>
          <w:sz w:val="24"/>
          <w:szCs w:val="24"/>
        </w:rPr>
        <w:t>emale offenders hav</w:t>
      </w:r>
      <w:r w:rsidR="0004044F" w:rsidRPr="001F7E66">
        <w:rPr>
          <w:sz w:val="24"/>
          <w:szCs w:val="24"/>
        </w:rPr>
        <w:t>e highly complex needs, and accordingly, services</w:t>
      </w:r>
      <w:r w:rsidRPr="001F7E66">
        <w:rPr>
          <w:sz w:val="24"/>
          <w:szCs w:val="24"/>
        </w:rPr>
        <w:t xml:space="preserve"> should be women-centric and needs-responsive.</w:t>
      </w:r>
      <w:r w:rsidRPr="001F7E66">
        <w:rPr>
          <w:rStyle w:val="FootnoteReference"/>
          <w:sz w:val="24"/>
          <w:szCs w:val="24"/>
        </w:rPr>
        <w:footnoteReference w:id="15"/>
      </w:r>
      <w:r w:rsidRPr="001F7E66">
        <w:rPr>
          <w:sz w:val="24"/>
          <w:szCs w:val="24"/>
        </w:rPr>
        <w:t xml:space="preserve"> </w:t>
      </w:r>
      <w:r w:rsidR="003A3E7B" w:rsidRPr="001F7E66">
        <w:rPr>
          <w:sz w:val="24"/>
          <w:szCs w:val="24"/>
        </w:rPr>
        <w:t xml:space="preserve">Crucially, Ireland </w:t>
      </w:r>
      <w:r w:rsidR="003A3E7B" w:rsidRPr="003A3E7B">
        <w:rPr>
          <w:sz w:val="24"/>
          <w:szCs w:val="24"/>
        </w:rPr>
        <w:t>lacks gender-specific non-custodial sentencing alternatives</w:t>
      </w:r>
      <w:r w:rsidR="003A3E7B" w:rsidRPr="001F7E66">
        <w:rPr>
          <w:b/>
          <w:sz w:val="24"/>
          <w:szCs w:val="24"/>
        </w:rPr>
        <w:t xml:space="preserve"> </w:t>
      </w:r>
      <w:r w:rsidR="003A3E7B" w:rsidRPr="001F7E66">
        <w:rPr>
          <w:sz w:val="24"/>
          <w:szCs w:val="24"/>
        </w:rPr>
        <w:t xml:space="preserve">for women engaged with the criminal justice system. In its reply to the CEDAW List of Issues, the government stated that women engaged with the criminal justice system are adequately catered for by the existing Community Service Order provisions. Yet, IPRT notes that such </w:t>
      </w:r>
      <w:r w:rsidR="003A3E7B" w:rsidRPr="003A3E7B">
        <w:rPr>
          <w:sz w:val="24"/>
          <w:szCs w:val="24"/>
        </w:rPr>
        <w:t>Community Service Orders are not gender-specific</w:t>
      </w:r>
      <w:r w:rsidR="003A3E7B" w:rsidRPr="001F7E66">
        <w:rPr>
          <w:b/>
          <w:sz w:val="24"/>
          <w:szCs w:val="24"/>
        </w:rPr>
        <w:t xml:space="preserve"> </w:t>
      </w:r>
      <w:r w:rsidR="003A3E7B" w:rsidRPr="001F7E66">
        <w:rPr>
          <w:sz w:val="24"/>
          <w:szCs w:val="24"/>
        </w:rPr>
        <w:t xml:space="preserve">and thus do not adequately support the complex needs of these highly vulnerable women. </w:t>
      </w:r>
    </w:p>
    <w:p w14:paraId="3B7D96F0" w14:textId="77777777" w:rsidR="003A3E7B" w:rsidRDefault="003A3E7B" w:rsidP="003A3E7B">
      <w:pPr>
        <w:spacing w:after="100" w:line="240" w:lineRule="auto"/>
        <w:jc w:val="both"/>
        <w:rPr>
          <w:sz w:val="24"/>
          <w:szCs w:val="24"/>
        </w:rPr>
      </w:pPr>
      <w:r w:rsidRPr="001F7E66">
        <w:rPr>
          <w:sz w:val="24"/>
          <w:szCs w:val="24"/>
        </w:rPr>
        <w:t>Similarly, while the numbers of women in custody has risen between 2011 and 2014, the numbers of non-custodial sanctions imposed on female offenders has declined; there was a 7.4% decline in the numbers of women on Probation Orders and a 9% decline in the numbers of women on Community Service Orders in the time frame.</w:t>
      </w:r>
      <w:r w:rsidRPr="001F7E66">
        <w:rPr>
          <w:rStyle w:val="FootnoteReference"/>
          <w:sz w:val="24"/>
          <w:szCs w:val="24"/>
        </w:rPr>
        <w:footnoteReference w:id="16"/>
      </w:r>
      <w:r w:rsidRPr="001F7E66">
        <w:rPr>
          <w:sz w:val="24"/>
          <w:szCs w:val="24"/>
        </w:rPr>
        <w:t xml:space="preserve"> </w:t>
      </w:r>
    </w:p>
    <w:p w14:paraId="5C144941" w14:textId="77777777" w:rsidR="003A3E7B" w:rsidRPr="001F7E66" w:rsidRDefault="003A3E7B" w:rsidP="003A3E7B">
      <w:pPr>
        <w:spacing w:after="100" w:line="240" w:lineRule="auto"/>
        <w:jc w:val="both"/>
        <w:rPr>
          <w:sz w:val="24"/>
          <w:szCs w:val="24"/>
        </w:rPr>
      </w:pPr>
    </w:p>
    <w:p w14:paraId="114B3B2D" w14:textId="77777777" w:rsidR="003A3E7B" w:rsidRPr="001F7E66" w:rsidRDefault="003A3E7B" w:rsidP="003A3E7B">
      <w:pPr>
        <w:spacing w:line="240" w:lineRule="auto"/>
        <w:jc w:val="both"/>
        <w:rPr>
          <w:rFonts w:eastAsia="Calibri" w:cs="Arial"/>
          <w:b/>
          <w:sz w:val="24"/>
          <w:szCs w:val="24"/>
          <w:lang w:eastAsia="en-GB"/>
        </w:rPr>
      </w:pPr>
      <w:r w:rsidRPr="001F7E66">
        <w:rPr>
          <w:rFonts w:eastAsia="Calibri" w:cs="Arial"/>
          <w:b/>
          <w:sz w:val="24"/>
          <w:szCs w:val="24"/>
          <w:lang w:eastAsia="en-GB"/>
        </w:rPr>
        <w:t>Table 1: Supervision of female offenders in the community 2011-2014</w:t>
      </w:r>
    </w:p>
    <w:tbl>
      <w:tblPr>
        <w:tblStyle w:val="TableGrid"/>
        <w:tblW w:w="8926" w:type="dxa"/>
        <w:tblLook w:val="04A0" w:firstRow="1" w:lastRow="0" w:firstColumn="1" w:lastColumn="0" w:noHBand="0" w:noVBand="1"/>
      </w:tblPr>
      <w:tblGrid>
        <w:gridCol w:w="3397"/>
        <w:gridCol w:w="1418"/>
        <w:gridCol w:w="1559"/>
        <w:gridCol w:w="1276"/>
        <w:gridCol w:w="1276"/>
      </w:tblGrid>
      <w:tr w:rsidR="003A3E7B" w:rsidRPr="001F7E66" w14:paraId="7E94E1CC" w14:textId="77777777" w:rsidTr="00D572BB">
        <w:tc>
          <w:tcPr>
            <w:tcW w:w="3397" w:type="dxa"/>
          </w:tcPr>
          <w:p w14:paraId="0E29EACB" w14:textId="77777777" w:rsidR="003A3E7B" w:rsidRPr="001F7E66" w:rsidRDefault="003A3E7B" w:rsidP="00D572BB">
            <w:pPr>
              <w:tabs>
                <w:tab w:val="right" w:pos="3181"/>
              </w:tabs>
              <w:jc w:val="both"/>
              <w:rPr>
                <w:rFonts w:asciiTheme="minorHAnsi" w:eastAsia="Calibri" w:hAnsiTheme="minorHAnsi" w:cs="Arial"/>
                <w:b/>
                <w:sz w:val="24"/>
                <w:szCs w:val="24"/>
                <w:lang w:eastAsia="en-GB"/>
              </w:rPr>
            </w:pPr>
            <w:r w:rsidRPr="001F7E66">
              <w:rPr>
                <w:rFonts w:asciiTheme="minorHAnsi" w:eastAsia="Calibri" w:hAnsiTheme="minorHAnsi" w:cs="Arial"/>
                <w:b/>
                <w:sz w:val="24"/>
                <w:szCs w:val="24"/>
                <w:lang w:eastAsia="en-GB"/>
              </w:rPr>
              <w:t xml:space="preserve">Supervision </w:t>
            </w:r>
            <w:r w:rsidRPr="001F7E66">
              <w:rPr>
                <w:rFonts w:asciiTheme="minorHAnsi" w:eastAsia="Calibri" w:hAnsiTheme="minorHAnsi" w:cs="Arial"/>
                <w:b/>
                <w:sz w:val="24"/>
                <w:szCs w:val="24"/>
                <w:lang w:eastAsia="en-GB"/>
              </w:rPr>
              <w:tab/>
            </w:r>
          </w:p>
          <w:p w14:paraId="79211F1F" w14:textId="77777777" w:rsidR="003A3E7B" w:rsidRPr="001F7E66" w:rsidRDefault="003A3E7B" w:rsidP="00D572BB">
            <w:pPr>
              <w:jc w:val="both"/>
              <w:rPr>
                <w:rFonts w:asciiTheme="minorHAnsi" w:eastAsia="Calibri" w:hAnsiTheme="minorHAnsi" w:cs="Arial"/>
                <w:b/>
                <w:sz w:val="24"/>
                <w:szCs w:val="24"/>
                <w:lang w:eastAsia="en-GB"/>
              </w:rPr>
            </w:pPr>
            <w:r w:rsidRPr="001F7E66">
              <w:rPr>
                <w:rFonts w:asciiTheme="minorHAnsi" w:eastAsia="Calibri" w:hAnsiTheme="minorHAnsi" w:cs="Arial"/>
                <w:b/>
                <w:sz w:val="24"/>
                <w:szCs w:val="24"/>
                <w:lang w:eastAsia="en-GB"/>
              </w:rPr>
              <w:t>(Female Offenders)</w:t>
            </w:r>
          </w:p>
        </w:tc>
        <w:tc>
          <w:tcPr>
            <w:tcW w:w="1418" w:type="dxa"/>
          </w:tcPr>
          <w:p w14:paraId="06B3DD01" w14:textId="77777777" w:rsidR="003A3E7B" w:rsidRPr="001F7E66" w:rsidRDefault="003A3E7B" w:rsidP="00D572BB">
            <w:pPr>
              <w:jc w:val="both"/>
              <w:rPr>
                <w:rFonts w:asciiTheme="minorHAnsi" w:eastAsia="Calibri" w:hAnsiTheme="minorHAnsi" w:cs="Arial"/>
                <w:b/>
                <w:sz w:val="24"/>
                <w:szCs w:val="24"/>
                <w:lang w:eastAsia="en-GB"/>
              </w:rPr>
            </w:pPr>
            <w:r w:rsidRPr="001F7E66">
              <w:rPr>
                <w:rFonts w:asciiTheme="minorHAnsi" w:eastAsia="Calibri" w:hAnsiTheme="minorHAnsi" w:cs="Arial"/>
                <w:b/>
                <w:sz w:val="24"/>
                <w:szCs w:val="24"/>
                <w:lang w:eastAsia="en-GB"/>
              </w:rPr>
              <w:t>2011</w:t>
            </w:r>
          </w:p>
        </w:tc>
        <w:tc>
          <w:tcPr>
            <w:tcW w:w="1559" w:type="dxa"/>
          </w:tcPr>
          <w:p w14:paraId="3D3222D7" w14:textId="77777777" w:rsidR="003A3E7B" w:rsidRPr="001F7E66" w:rsidRDefault="003A3E7B" w:rsidP="00D572BB">
            <w:pPr>
              <w:jc w:val="both"/>
              <w:rPr>
                <w:rFonts w:asciiTheme="minorHAnsi" w:eastAsia="Calibri" w:hAnsiTheme="minorHAnsi" w:cs="Arial"/>
                <w:b/>
                <w:sz w:val="24"/>
                <w:szCs w:val="24"/>
                <w:lang w:eastAsia="en-GB"/>
              </w:rPr>
            </w:pPr>
            <w:r w:rsidRPr="001F7E66">
              <w:rPr>
                <w:rFonts w:asciiTheme="minorHAnsi" w:eastAsia="Calibri" w:hAnsiTheme="minorHAnsi" w:cs="Arial"/>
                <w:b/>
                <w:sz w:val="24"/>
                <w:szCs w:val="24"/>
                <w:lang w:eastAsia="en-GB"/>
              </w:rPr>
              <w:t>2012</w:t>
            </w:r>
          </w:p>
        </w:tc>
        <w:tc>
          <w:tcPr>
            <w:tcW w:w="1276" w:type="dxa"/>
          </w:tcPr>
          <w:p w14:paraId="476F63C7" w14:textId="77777777" w:rsidR="003A3E7B" w:rsidRPr="001F7E66" w:rsidRDefault="003A3E7B" w:rsidP="00D572BB">
            <w:pPr>
              <w:jc w:val="both"/>
              <w:rPr>
                <w:rFonts w:asciiTheme="minorHAnsi" w:eastAsia="Calibri" w:hAnsiTheme="minorHAnsi" w:cs="Arial"/>
                <w:b/>
                <w:sz w:val="24"/>
                <w:szCs w:val="24"/>
                <w:lang w:eastAsia="en-GB"/>
              </w:rPr>
            </w:pPr>
            <w:r w:rsidRPr="001F7E66">
              <w:rPr>
                <w:rFonts w:asciiTheme="minorHAnsi" w:eastAsia="Calibri" w:hAnsiTheme="minorHAnsi" w:cs="Arial"/>
                <w:b/>
                <w:sz w:val="24"/>
                <w:szCs w:val="24"/>
                <w:lang w:eastAsia="en-GB"/>
              </w:rPr>
              <w:t>2013</w:t>
            </w:r>
          </w:p>
        </w:tc>
        <w:tc>
          <w:tcPr>
            <w:tcW w:w="1276" w:type="dxa"/>
          </w:tcPr>
          <w:p w14:paraId="1753A2AF" w14:textId="77777777" w:rsidR="003A3E7B" w:rsidRPr="001F7E66" w:rsidRDefault="003A3E7B" w:rsidP="00D572BB">
            <w:pPr>
              <w:jc w:val="both"/>
              <w:rPr>
                <w:rFonts w:asciiTheme="minorHAnsi" w:eastAsia="Calibri" w:hAnsiTheme="minorHAnsi" w:cs="Arial"/>
                <w:b/>
                <w:sz w:val="24"/>
                <w:szCs w:val="24"/>
                <w:lang w:eastAsia="en-GB"/>
              </w:rPr>
            </w:pPr>
            <w:r w:rsidRPr="001F7E66">
              <w:rPr>
                <w:rFonts w:asciiTheme="minorHAnsi" w:eastAsia="Calibri" w:hAnsiTheme="minorHAnsi" w:cs="Arial"/>
                <w:b/>
                <w:sz w:val="24"/>
                <w:szCs w:val="24"/>
                <w:lang w:eastAsia="en-GB"/>
              </w:rPr>
              <w:t>2014</w:t>
            </w:r>
          </w:p>
        </w:tc>
      </w:tr>
      <w:tr w:rsidR="003A3E7B" w:rsidRPr="001F7E66" w14:paraId="5A66D706" w14:textId="77777777" w:rsidTr="00D572BB">
        <w:tc>
          <w:tcPr>
            <w:tcW w:w="3397" w:type="dxa"/>
          </w:tcPr>
          <w:p w14:paraId="30A7413A" w14:textId="77777777" w:rsidR="003A3E7B" w:rsidRPr="001F7E66" w:rsidRDefault="003A3E7B" w:rsidP="00D572BB">
            <w:pPr>
              <w:tabs>
                <w:tab w:val="left" w:pos="2205"/>
              </w:tabs>
              <w:jc w:val="both"/>
              <w:rPr>
                <w:rFonts w:asciiTheme="minorHAnsi" w:eastAsia="Calibri" w:hAnsiTheme="minorHAnsi" w:cs="Arial"/>
                <w:sz w:val="24"/>
                <w:szCs w:val="24"/>
                <w:lang w:eastAsia="en-GB"/>
              </w:rPr>
            </w:pPr>
            <w:r w:rsidRPr="001F7E66">
              <w:rPr>
                <w:rFonts w:asciiTheme="minorHAnsi" w:eastAsia="Calibri" w:hAnsiTheme="minorHAnsi" w:cs="Arial"/>
                <w:sz w:val="24"/>
                <w:szCs w:val="24"/>
                <w:lang w:eastAsia="en-GB"/>
              </w:rPr>
              <w:t>Probation Orders</w:t>
            </w:r>
            <w:r w:rsidRPr="001F7E66">
              <w:rPr>
                <w:rFonts w:asciiTheme="minorHAnsi" w:eastAsia="Calibri" w:hAnsiTheme="minorHAnsi" w:cs="Arial"/>
                <w:sz w:val="24"/>
                <w:szCs w:val="24"/>
                <w:lang w:eastAsia="en-GB"/>
              </w:rPr>
              <w:tab/>
            </w:r>
          </w:p>
        </w:tc>
        <w:tc>
          <w:tcPr>
            <w:tcW w:w="1418" w:type="dxa"/>
          </w:tcPr>
          <w:p w14:paraId="1B7E1A20" w14:textId="77777777" w:rsidR="003A3E7B" w:rsidRPr="001F7E66" w:rsidRDefault="003A3E7B" w:rsidP="00D572BB">
            <w:pPr>
              <w:jc w:val="both"/>
              <w:rPr>
                <w:rFonts w:asciiTheme="minorHAnsi" w:eastAsia="Calibri" w:hAnsiTheme="minorHAnsi" w:cs="Arial"/>
                <w:sz w:val="24"/>
                <w:szCs w:val="24"/>
                <w:lang w:eastAsia="en-GB"/>
              </w:rPr>
            </w:pPr>
            <w:r w:rsidRPr="001F7E66">
              <w:rPr>
                <w:rFonts w:asciiTheme="minorHAnsi" w:eastAsia="Calibri" w:hAnsiTheme="minorHAnsi" w:cs="Arial"/>
                <w:sz w:val="24"/>
                <w:szCs w:val="24"/>
                <w:lang w:eastAsia="en-GB"/>
              </w:rPr>
              <w:t>378</w:t>
            </w:r>
          </w:p>
        </w:tc>
        <w:tc>
          <w:tcPr>
            <w:tcW w:w="1559" w:type="dxa"/>
          </w:tcPr>
          <w:p w14:paraId="4FBCFF1D" w14:textId="77777777" w:rsidR="003A3E7B" w:rsidRPr="001F7E66" w:rsidRDefault="003A3E7B" w:rsidP="00D572BB">
            <w:pPr>
              <w:jc w:val="both"/>
              <w:rPr>
                <w:rFonts w:asciiTheme="minorHAnsi" w:eastAsia="Calibri" w:hAnsiTheme="minorHAnsi" w:cs="Arial"/>
                <w:sz w:val="24"/>
                <w:szCs w:val="24"/>
                <w:lang w:eastAsia="en-GB"/>
              </w:rPr>
            </w:pPr>
            <w:r w:rsidRPr="001F7E66">
              <w:rPr>
                <w:rFonts w:asciiTheme="minorHAnsi" w:eastAsia="Calibri" w:hAnsiTheme="minorHAnsi" w:cs="Arial"/>
                <w:sz w:val="24"/>
                <w:szCs w:val="24"/>
                <w:lang w:eastAsia="en-GB"/>
              </w:rPr>
              <w:t>325</w:t>
            </w:r>
          </w:p>
        </w:tc>
        <w:tc>
          <w:tcPr>
            <w:tcW w:w="1276" w:type="dxa"/>
          </w:tcPr>
          <w:p w14:paraId="2093CBEF" w14:textId="77777777" w:rsidR="003A3E7B" w:rsidRPr="001F7E66" w:rsidRDefault="003A3E7B" w:rsidP="00D572BB">
            <w:pPr>
              <w:jc w:val="both"/>
              <w:rPr>
                <w:rFonts w:asciiTheme="minorHAnsi" w:eastAsia="Calibri" w:hAnsiTheme="minorHAnsi" w:cs="Arial"/>
                <w:sz w:val="24"/>
                <w:szCs w:val="24"/>
                <w:lang w:eastAsia="en-GB"/>
              </w:rPr>
            </w:pPr>
            <w:r w:rsidRPr="001F7E66">
              <w:rPr>
                <w:rFonts w:asciiTheme="minorHAnsi" w:eastAsia="Calibri" w:hAnsiTheme="minorHAnsi" w:cs="Arial"/>
                <w:sz w:val="24"/>
                <w:szCs w:val="24"/>
                <w:lang w:eastAsia="en-GB"/>
              </w:rPr>
              <w:t>341</w:t>
            </w:r>
          </w:p>
        </w:tc>
        <w:tc>
          <w:tcPr>
            <w:tcW w:w="1276" w:type="dxa"/>
          </w:tcPr>
          <w:p w14:paraId="610365D7" w14:textId="77777777" w:rsidR="003A3E7B" w:rsidRPr="001F7E66" w:rsidRDefault="003A3E7B" w:rsidP="00D572BB">
            <w:pPr>
              <w:jc w:val="both"/>
              <w:rPr>
                <w:rFonts w:asciiTheme="minorHAnsi" w:eastAsia="Calibri" w:hAnsiTheme="minorHAnsi" w:cs="Arial"/>
                <w:sz w:val="24"/>
                <w:szCs w:val="24"/>
                <w:lang w:eastAsia="en-GB"/>
              </w:rPr>
            </w:pPr>
            <w:r w:rsidRPr="001F7E66">
              <w:rPr>
                <w:rFonts w:asciiTheme="minorHAnsi" w:eastAsia="Calibri" w:hAnsiTheme="minorHAnsi" w:cs="Arial"/>
                <w:sz w:val="24"/>
                <w:szCs w:val="24"/>
                <w:lang w:eastAsia="en-GB"/>
              </w:rPr>
              <w:t>350</w:t>
            </w:r>
          </w:p>
        </w:tc>
      </w:tr>
      <w:tr w:rsidR="003A3E7B" w:rsidRPr="001F7E66" w14:paraId="77B3DB45" w14:textId="77777777" w:rsidTr="00D572BB">
        <w:tc>
          <w:tcPr>
            <w:tcW w:w="3397" w:type="dxa"/>
          </w:tcPr>
          <w:p w14:paraId="3653ECED" w14:textId="77777777" w:rsidR="003A3E7B" w:rsidRPr="001F7E66" w:rsidRDefault="003A3E7B" w:rsidP="00D572BB">
            <w:pPr>
              <w:jc w:val="both"/>
              <w:rPr>
                <w:rFonts w:asciiTheme="minorHAnsi" w:eastAsia="Calibri" w:hAnsiTheme="minorHAnsi" w:cs="Arial"/>
                <w:sz w:val="24"/>
                <w:szCs w:val="24"/>
                <w:lang w:eastAsia="en-GB"/>
              </w:rPr>
            </w:pPr>
            <w:r w:rsidRPr="001F7E66">
              <w:rPr>
                <w:rFonts w:asciiTheme="minorHAnsi" w:eastAsia="Calibri" w:hAnsiTheme="minorHAnsi" w:cs="Arial"/>
                <w:sz w:val="24"/>
                <w:szCs w:val="24"/>
                <w:lang w:eastAsia="en-GB"/>
              </w:rPr>
              <w:t>Community Service Orders</w:t>
            </w:r>
          </w:p>
        </w:tc>
        <w:tc>
          <w:tcPr>
            <w:tcW w:w="1418" w:type="dxa"/>
          </w:tcPr>
          <w:p w14:paraId="4CB52194" w14:textId="77777777" w:rsidR="003A3E7B" w:rsidRPr="001F7E66" w:rsidRDefault="003A3E7B" w:rsidP="00D572BB">
            <w:pPr>
              <w:jc w:val="both"/>
              <w:rPr>
                <w:rFonts w:asciiTheme="minorHAnsi" w:eastAsia="Calibri" w:hAnsiTheme="minorHAnsi" w:cs="Arial"/>
                <w:sz w:val="24"/>
                <w:szCs w:val="24"/>
                <w:lang w:eastAsia="en-GB"/>
              </w:rPr>
            </w:pPr>
            <w:r w:rsidRPr="001F7E66">
              <w:rPr>
                <w:rFonts w:asciiTheme="minorHAnsi" w:eastAsia="Calibri" w:hAnsiTheme="minorHAnsi" w:cs="Arial"/>
                <w:sz w:val="24"/>
                <w:szCs w:val="24"/>
                <w:lang w:eastAsia="en-GB"/>
              </w:rPr>
              <w:t>210</w:t>
            </w:r>
          </w:p>
        </w:tc>
        <w:tc>
          <w:tcPr>
            <w:tcW w:w="1559" w:type="dxa"/>
          </w:tcPr>
          <w:p w14:paraId="5BD610AB" w14:textId="77777777" w:rsidR="003A3E7B" w:rsidRPr="001F7E66" w:rsidRDefault="003A3E7B" w:rsidP="00D572BB">
            <w:pPr>
              <w:jc w:val="both"/>
              <w:rPr>
                <w:rFonts w:asciiTheme="minorHAnsi" w:eastAsia="Calibri" w:hAnsiTheme="minorHAnsi" w:cs="Arial"/>
                <w:sz w:val="24"/>
                <w:szCs w:val="24"/>
                <w:lang w:eastAsia="en-GB"/>
              </w:rPr>
            </w:pPr>
            <w:r w:rsidRPr="001F7E66">
              <w:rPr>
                <w:rFonts w:asciiTheme="minorHAnsi" w:eastAsia="Calibri" w:hAnsiTheme="minorHAnsi" w:cs="Arial"/>
                <w:sz w:val="24"/>
                <w:szCs w:val="24"/>
                <w:lang w:eastAsia="en-GB"/>
              </w:rPr>
              <w:t>229</w:t>
            </w:r>
          </w:p>
        </w:tc>
        <w:tc>
          <w:tcPr>
            <w:tcW w:w="1276" w:type="dxa"/>
          </w:tcPr>
          <w:p w14:paraId="3E4A4B29" w14:textId="77777777" w:rsidR="003A3E7B" w:rsidRPr="001F7E66" w:rsidRDefault="003A3E7B" w:rsidP="00D572BB">
            <w:pPr>
              <w:jc w:val="both"/>
              <w:rPr>
                <w:rFonts w:asciiTheme="minorHAnsi" w:eastAsia="Calibri" w:hAnsiTheme="minorHAnsi" w:cs="Arial"/>
                <w:sz w:val="24"/>
                <w:szCs w:val="24"/>
                <w:lang w:eastAsia="en-GB"/>
              </w:rPr>
            </w:pPr>
            <w:r w:rsidRPr="001F7E66">
              <w:rPr>
                <w:rFonts w:asciiTheme="minorHAnsi" w:eastAsia="Calibri" w:hAnsiTheme="minorHAnsi" w:cs="Arial"/>
                <w:sz w:val="24"/>
                <w:szCs w:val="24"/>
                <w:lang w:eastAsia="en-GB"/>
              </w:rPr>
              <w:t>204</w:t>
            </w:r>
          </w:p>
        </w:tc>
        <w:tc>
          <w:tcPr>
            <w:tcW w:w="1276" w:type="dxa"/>
          </w:tcPr>
          <w:p w14:paraId="433231F8" w14:textId="77777777" w:rsidR="003A3E7B" w:rsidRPr="001F7E66" w:rsidRDefault="003A3E7B" w:rsidP="00D572BB">
            <w:pPr>
              <w:jc w:val="both"/>
              <w:rPr>
                <w:rFonts w:asciiTheme="minorHAnsi" w:eastAsia="Calibri" w:hAnsiTheme="minorHAnsi" w:cs="Arial"/>
                <w:sz w:val="24"/>
                <w:szCs w:val="24"/>
                <w:lang w:eastAsia="en-GB"/>
              </w:rPr>
            </w:pPr>
            <w:r w:rsidRPr="001F7E66">
              <w:rPr>
                <w:rFonts w:asciiTheme="minorHAnsi" w:eastAsia="Calibri" w:hAnsiTheme="minorHAnsi" w:cs="Arial"/>
                <w:sz w:val="24"/>
                <w:szCs w:val="24"/>
                <w:lang w:eastAsia="en-GB"/>
              </w:rPr>
              <w:t>191</w:t>
            </w:r>
          </w:p>
        </w:tc>
      </w:tr>
    </w:tbl>
    <w:p w14:paraId="49EFE0A6" w14:textId="77777777" w:rsidR="003A3E7B" w:rsidRPr="001F7E66" w:rsidRDefault="003A3E7B" w:rsidP="003A3E7B">
      <w:pPr>
        <w:spacing w:line="240" w:lineRule="auto"/>
        <w:jc w:val="both"/>
        <w:rPr>
          <w:rFonts w:eastAsia="Calibri" w:cs="Arial"/>
          <w:i/>
          <w:sz w:val="24"/>
          <w:szCs w:val="24"/>
          <w:lang w:eastAsia="en-GB"/>
        </w:rPr>
      </w:pPr>
      <w:r w:rsidRPr="001F7E66">
        <w:rPr>
          <w:rFonts w:eastAsia="Calibri" w:cs="Arial"/>
          <w:sz w:val="24"/>
          <w:szCs w:val="24"/>
          <w:lang w:eastAsia="en-GB"/>
        </w:rPr>
        <w:t xml:space="preserve">Source: </w:t>
      </w:r>
      <w:r w:rsidRPr="001F7E66">
        <w:rPr>
          <w:rFonts w:eastAsia="Calibri" w:cs="Arial"/>
          <w:i/>
          <w:sz w:val="24"/>
          <w:szCs w:val="24"/>
          <w:lang w:eastAsia="en-GB"/>
        </w:rPr>
        <w:t>Probation Service Annual Report 2014</w:t>
      </w:r>
    </w:p>
    <w:p w14:paraId="0D1CAC40" w14:textId="32DE45AE" w:rsidR="005F782F" w:rsidRPr="000661B2" w:rsidRDefault="005F782F" w:rsidP="0078067D">
      <w:pPr>
        <w:spacing w:after="100" w:line="240" w:lineRule="auto"/>
        <w:jc w:val="both"/>
        <w:rPr>
          <w:i/>
          <w:sz w:val="24"/>
          <w:szCs w:val="24"/>
        </w:rPr>
      </w:pPr>
    </w:p>
    <w:p w14:paraId="7E2A000B" w14:textId="2C509A70" w:rsidR="003A3E7B" w:rsidRPr="003A3E7B" w:rsidRDefault="003A3E7B" w:rsidP="0078067D">
      <w:pPr>
        <w:spacing w:after="100" w:line="240" w:lineRule="auto"/>
        <w:jc w:val="both"/>
        <w:rPr>
          <w:b/>
          <w:i/>
          <w:sz w:val="24"/>
          <w:szCs w:val="24"/>
        </w:rPr>
      </w:pPr>
      <w:r>
        <w:rPr>
          <w:b/>
          <w:i/>
          <w:sz w:val="24"/>
          <w:szCs w:val="24"/>
        </w:rPr>
        <w:t>No open prison facilities for women</w:t>
      </w:r>
    </w:p>
    <w:p w14:paraId="71E50251" w14:textId="0C40E4E0" w:rsidR="00696C1D" w:rsidRDefault="00696C1D" w:rsidP="0078067D">
      <w:pPr>
        <w:spacing w:after="100" w:line="240" w:lineRule="auto"/>
        <w:jc w:val="both"/>
        <w:rPr>
          <w:sz w:val="24"/>
          <w:szCs w:val="24"/>
        </w:rPr>
      </w:pPr>
      <w:r w:rsidRPr="001F7E66">
        <w:rPr>
          <w:sz w:val="24"/>
          <w:szCs w:val="24"/>
        </w:rPr>
        <w:t xml:space="preserve">The </w:t>
      </w:r>
      <w:r w:rsidR="003A3E7B">
        <w:rPr>
          <w:sz w:val="24"/>
          <w:szCs w:val="24"/>
        </w:rPr>
        <w:t>2010 Bangkok Rules</w:t>
      </w:r>
      <w:r w:rsidRPr="001F7E66">
        <w:rPr>
          <w:sz w:val="24"/>
          <w:szCs w:val="24"/>
        </w:rPr>
        <w:t xml:space="preserve"> </w:t>
      </w:r>
      <w:r w:rsidR="003A3E7B">
        <w:rPr>
          <w:sz w:val="24"/>
          <w:szCs w:val="24"/>
        </w:rPr>
        <w:t>require</w:t>
      </w:r>
      <w:r w:rsidR="005F782F">
        <w:rPr>
          <w:sz w:val="24"/>
          <w:szCs w:val="24"/>
        </w:rPr>
        <w:t xml:space="preserve"> </w:t>
      </w:r>
      <w:r w:rsidRPr="001F7E66">
        <w:rPr>
          <w:sz w:val="24"/>
          <w:szCs w:val="24"/>
        </w:rPr>
        <w:t>that a gender-sensitive risk assessment and classification of prisoners</w:t>
      </w:r>
      <w:r w:rsidR="0078067D" w:rsidRPr="001F7E66">
        <w:rPr>
          <w:sz w:val="24"/>
          <w:szCs w:val="24"/>
        </w:rPr>
        <w:t xml:space="preserve"> </w:t>
      </w:r>
      <w:r w:rsidRPr="001F7E66">
        <w:rPr>
          <w:i/>
          <w:sz w:val="24"/>
          <w:szCs w:val="24"/>
        </w:rPr>
        <w:t>‘take into account the generally lower risk posed by women prisoners to others, as well as the particularly harmful effects that high security measures and increased levels of isolation can have on women prisoners’</w:t>
      </w:r>
      <w:r w:rsidRPr="001F7E66">
        <w:rPr>
          <w:sz w:val="24"/>
          <w:szCs w:val="24"/>
        </w:rPr>
        <w:t>.</w:t>
      </w:r>
      <w:r w:rsidRPr="001F7E66">
        <w:rPr>
          <w:rStyle w:val="FootnoteReference"/>
          <w:sz w:val="24"/>
          <w:szCs w:val="24"/>
        </w:rPr>
        <w:footnoteReference w:id="17"/>
      </w:r>
    </w:p>
    <w:p w14:paraId="79550CEE" w14:textId="309924EA" w:rsidR="000661B2" w:rsidRPr="001F7E66" w:rsidRDefault="008B1D33" w:rsidP="000661B2">
      <w:pPr>
        <w:spacing w:after="100" w:line="240" w:lineRule="auto"/>
        <w:jc w:val="both"/>
        <w:rPr>
          <w:sz w:val="24"/>
          <w:szCs w:val="24"/>
        </w:rPr>
      </w:pPr>
      <w:r w:rsidRPr="001F7E66">
        <w:rPr>
          <w:sz w:val="24"/>
          <w:szCs w:val="24"/>
        </w:rPr>
        <w:t xml:space="preserve">Ireland </w:t>
      </w:r>
      <w:r w:rsidRPr="003A3E7B">
        <w:rPr>
          <w:sz w:val="24"/>
          <w:szCs w:val="24"/>
        </w:rPr>
        <w:t>lacks low security or open facilities for</w:t>
      </w:r>
      <w:r w:rsidRPr="001F7E66">
        <w:rPr>
          <w:sz w:val="24"/>
          <w:szCs w:val="24"/>
        </w:rPr>
        <w:t xml:space="preserve"> the few women in the Irish prison estate for whom a</w:t>
      </w:r>
      <w:r w:rsidR="0078067D" w:rsidRPr="001F7E66">
        <w:rPr>
          <w:sz w:val="24"/>
          <w:szCs w:val="24"/>
        </w:rPr>
        <w:t xml:space="preserve"> </w:t>
      </w:r>
      <w:r w:rsidRPr="001F7E66">
        <w:rPr>
          <w:sz w:val="24"/>
          <w:szCs w:val="24"/>
        </w:rPr>
        <w:t xml:space="preserve">custodial sentence is suitable. </w:t>
      </w:r>
      <w:r w:rsidR="0078067D" w:rsidRPr="001F7E66">
        <w:rPr>
          <w:sz w:val="24"/>
          <w:szCs w:val="24"/>
        </w:rPr>
        <w:t>At present</w:t>
      </w:r>
      <w:r w:rsidR="00870829" w:rsidRPr="001F7E66">
        <w:rPr>
          <w:sz w:val="24"/>
          <w:szCs w:val="24"/>
        </w:rPr>
        <w:t xml:space="preserve">, all women handed down a custodial </w:t>
      </w:r>
      <w:r w:rsidR="00870829" w:rsidRPr="001F7E66">
        <w:rPr>
          <w:sz w:val="24"/>
          <w:szCs w:val="24"/>
        </w:rPr>
        <w:lastRenderedPageBreak/>
        <w:t xml:space="preserve">sentence are held at medium security </w:t>
      </w:r>
      <w:r w:rsidR="004B233E">
        <w:rPr>
          <w:sz w:val="24"/>
          <w:szCs w:val="24"/>
        </w:rPr>
        <w:t xml:space="preserve">prisons </w:t>
      </w:r>
      <w:r w:rsidR="00870829" w:rsidRPr="001F7E66">
        <w:rPr>
          <w:sz w:val="24"/>
          <w:szCs w:val="24"/>
        </w:rPr>
        <w:t xml:space="preserve">at </w:t>
      </w:r>
      <w:proofErr w:type="spellStart"/>
      <w:r w:rsidR="00870829" w:rsidRPr="001F7E66">
        <w:rPr>
          <w:sz w:val="24"/>
          <w:szCs w:val="24"/>
        </w:rPr>
        <w:t>Dóchas</w:t>
      </w:r>
      <w:proofErr w:type="spellEnd"/>
      <w:r w:rsidR="00870829" w:rsidRPr="001F7E66">
        <w:rPr>
          <w:sz w:val="24"/>
          <w:szCs w:val="24"/>
        </w:rPr>
        <w:t xml:space="preserve"> </w:t>
      </w:r>
      <w:r w:rsidR="004B233E">
        <w:rPr>
          <w:sz w:val="24"/>
          <w:szCs w:val="24"/>
        </w:rPr>
        <w:t xml:space="preserve">in Dublin </w:t>
      </w:r>
      <w:r w:rsidR="00870829" w:rsidRPr="001F7E66">
        <w:rPr>
          <w:sz w:val="24"/>
          <w:szCs w:val="24"/>
        </w:rPr>
        <w:t>or Limerick</w:t>
      </w:r>
      <w:r w:rsidR="004B233E">
        <w:rPr>
          <w:sz w:val="24"/>
          <w:szCs w:val="24"/>
        </w:rPr>
        <w:t xml:space="preserve"> female</w:t>
      </w:r>
      <w:r w:rsidR="00870829" w:rsidRPr="001F7E66">
        <w:rPr>
          <w:sz w:val="24"/>
          <w:szCs w:val="24"/>
        </w:rPr>
        <w:t xml:space="preserve">. </w:t>
      </w:r>
      <w:r w:rsidR="000661B2" w:rsidRPr="001F7E66">
        <w:rPr>
          <w:sz w:val="24"/>
          <w:szCs w:val="24"/>
        </w:rPr>
        <w:t>Given that the existing system was designed for the needs of the male prisoner population, it</w:t>
      </w:r>
      <w:r w:rsidR="000661B2" w:rsidRPr="001F7E66">
        <w:rPr>
          <w:b/>
          <w:sz w:val="24"/>
          <w:szCs w:val="24"/>
        </w:rPr>
        <w:t xml:space="preserve"> </w:t>
      </w:r>
      <w:r w:rsidR="000661B2" w:rsidRPr="000661B2">
        <w:rPr>
          <w:sz w:val="24"/>
          <w:szCs w:val="24"/>
        </w:rPr>
        <w:t>thus falls short in terms of protecting the equality of women prisoners.</w:t>
      </w:r>
      <w:r w:rsidR="000661B2">
        <w:rPr>
          <w:sz w:val="24"/>
          <w:szCs w:val="24"/>
        </w:rPr>
        <w:t xml:space="preserve"> </w:t>
      </w:r>
      <w:r w:rsidR="000661B2" w:rsidRPr="001F7E66">
        <w:rPr>
          <w:sz w:val="24"/>
          <w:szCs w:val="24"/>
        </w:rPr>
        <w:t xml:space="preserve">and this has been recognised by the </w:t>
      </w:r>
      <w:proofErr w:type="spellStart"/>
      <w:r w:rsidR="000661B2" w:rsidRPr="001F7E66">
        <w:rPr>
          <w:sz w:val="24"/>
          <w:szCs w:val="24"/>
        </w:rPr>
        <w:t>Dóchas</w:t>
      </w:r>
      <w:proofErr w:type="spellEnd"/>
      <w:r w:rsidR="000661B2" w:rsidRPr="001F7E66">
        <w:rPr>
          <w:sz w:val="24"/>
          <w:szCs w:val="24"/>
        </w:rPr>
        <w:t xml:space="preserve"> Visiting Committee, which</w:t>
      </w:r>
    </w:p>
    <w:p w14:paraId="4EDDED1D" w14:textId="77777777" w:rsidR="000661B2" w:rsidRPr="001F7E66" w:rsidRDefault="000661B2" w:rsidP="000661B2">
      <w:pPr>
        <w:spacing w:after="100" w:line="240" w:lineRule="auto"/>
        <w:ind w:left="720"/>
        <w:jc w:val="both"/>
        <w:rPr>
          <w:i/>
          <w:sz w:val="24"/>
          <w:szCs w:val="24"/>
        </w:rPr>
      </w:pPr>
      <w:r w:rsidRPr="001F7E66">
        <w:rPr>
          <w:i/>
          <w:sz w:val="24"/>
          <w:szCs w:val="24"/>
        </w:rPr>
        <w:t xml:space="preserve">‘believes that the complete absence of gender appropriate open/step down facilities or community based open conditions for female offenders emphatically represents the unequal treatment of a needy cohort of detained persons, </w:t>
      </w:r>
      <w:proofErr w:type="spellStart"/>
      <w:r w:rsidRPr="001F7E66">
        <w:rPr>
          <w:i/>
          <w:sz w:val="24"/>
          <w:szCs w:val="24"/>
        </w:rPr>
        <w:t>viz</w:t>
      </w:r>
      <w:proofErr w:type="spellEnd"/>
      <w:r w:rsidRPr="001F7E66">
        <w:rPr>
          <w:i/>
          <w:sz w:val="24"/>
          <w:szCs w:val="24"/>
        </w:rPr>
        <w:t xml:space="preserve"> women’.</w:t>
      </w:r>
    </w:p>
    <w:p w14:paraId="746796C6" w14:textId="4D0E8393" w:rsidR="00870829" w:rsidRPr="001F7E66" w:rsidRDefault="00870829" w:rsidP="00A870FA">
      <w:pPr>
        <w:spacing w:after="100" w:line="240" w:lineRule="auto"/>
        <w:jc w:val="both"/>
        <w:rPr>
          <w:sz w:val="24"/>
          <w:szCs w:val="24"/>
        </w:rPr>
      </w:pPr>
    </w:p>
    <w:p w14:paraId="5FEBBABA" w14:textId="45102A5B" w:rsidR="00A870FA" w:rsidRDefault="008B1D33" w:rsidP="00A870FA">
      <w:pPr>
        <w:spacing w:after="100" w:line="240" w:lineRule="auto"/>
        <w:jc w:val="both"/>
        <w:rPr>
          <w:sz w:val="24"/>
          <w:szCs w:val="24"/>
        </w:rPr>
      </w:pPr>
      <w:r w:rsidRPr="001F7E66">
        <w:rPr>
          <w:sz w:val="24"/>
          <w:szCs w:val="24"/>
        </w:rPr>
        <w:t xml:space="preserve">As most female prisoners in Ireland are imprisoned for non-violent offences and for short term sentences, the absence of open facilities and non-custodial sentencing options present glaring gaps in the existing criminal justice system, which clearly does not cater adequately to the needs of this highly vulnerable group of women. </w:t>
      </w:r>
    </w:p>
    <w:p w14:paraId="2B4178A8" w14:textId="77777777" w:rsidR="003A3E7B" w:rsidRPr="001F7E66" w:rsidRDefault="003A3E7B" w:rsidP="00A870FA">
      <w:pPr>
        <w:spacing w:after="100" w:line="240" w:lineRule="auto"/>
        <w:jc w:val="both"/>
        <w:rPr>
          <w:sz w:val="24"/>
          <w:szCs w:val="24"/>
        </w:rPr>
      </w:pPr>
    </w:p>
    <w:tbl>
      <w:tblPr>
        <w:tblStyle w:val="TableGrid"/>
        <w:tblW w:w="0" w:type="auto"/>
        <w:tblLook w:val="04A0" w:firstRow="1" w:lastRow="0" w:firstColumn="1" w:lastColumn="0" w:noHBand="0" w:noVBand="1"/>
      </w:tblPr>
      <w:tblGrid>
        <w:gridCol w:w="9016"/>
      </w:tblGrid>
      <w:tr w:rsidR="004B233E" w14:paraId="02E23A29" w14:textId="77777777" w:rsidTr="004B233E">
        <w:tc>
          <w:tcPr>
            <w:tcW w:w="9016" w:type="dxa"/>
          </w:tcPr>
          <w:p w14:paraId="5BEAF263" w14:textId="577A25A3" w:rsidR="004B233E" w:rsidRPr="001F7E66" w:rsidRDefault="003A3E7B" w:rsidP="004B233E">
            <w:pPr>
              <w:spacing w:after="100"/>
              <w:jc w:val="both"/>
              <w:rPr>
                <w:rFonts w:asciiTheme="minorHAnsi" w:hAnsiTheme="minorHAnsi"/>
                <w:b/>
                <w:sz w:val="24"/>
                <w:szCs w:val="24"/>
              </w:rPr>
            </w:pPr>
            <w:r>
              <w:rPr>
                <w:rFonts w:asciiTheme="minorHAnsi" w:hAnsiTheme="minorHAnsi"/>
                <w:b/>
                <w:sz w:val="24"/>
                <w:szCs w:val="24"/>
              </w:rPr>
              <w:t>IPRT recommends:</w:t>
            </w:r>
          </w:p>
          <w:p w14:paraId="35D8C13E" w14:textId="3918D03F" w:rsidR="003A3E7B" w:rsidRDefault="003A3E7B" w:rsidP="003A3E7B">
            <w:pPr>
              <w:pStyle w:val="ListParagraph"/>
              <w:numPr>
                <w:ilvl w:val="0"/>
                <w:numId w:val="19"/>
              </w:numPr>
              <w:spacing w:after="100" w:line="240" w:lineRule="auto"/>
              <w:jc w:val="both"/>
              <w:rPr>
                <w:rFonts w:asciiTheme="minorHAnsi" w:hAnsiTheme="minorHAnsi"/>
                <w:b/>
                <w:sz w:val="24"/>
                <w:szCs w:val="24"/>
              </w:rPr>
            </w:pPr>
            <w:r>
              <w:rPr>
                <w:rFonts w:asciiTheme="minorHAnsi" w:hAnsiTheme="minorHAnsi"/>
                <w:b/>
                <w:sz w:val="24"/>
                <w:szCs w:val="24"/>
              </w:rPr>
              <w:t>Increased investment in social services which provide early intervention and support for complex needs of women at risk of coming into contact with the criminal justice system</w:t>
            </w:r>
          </w:p>
          <w:p w14:paraId="427D74FF" w14:textId="7BEF3178" w:rsidR="003A3E7B" w:rsidRPr="001F7E66" w:rsidRDefault="003A3E7B" w:rsidP="003A3E7B">
            <w:pPr>
              <w:pStyle w:val="ListParagraph"/>
              <w:numPr>
                <w:ilvl w:val="0"/>
                <w:numId w:val="19"/>
              </w:numPr>
              <w:spacing w:after="100" w:line="240" w:lineRule="auto"/>
              <w:jc w:val="both"/>
              <w:rPr>
                <w:rFonts w:asciiTheme="minorHAnsi" w:hAnsiTheme="minorHAnsi"/>
                <w:b/>
                <w:sz w:val="24"/>
                <w:szCs w:val="24"/>
              </w:rPr>
            </w:pPr>
            <w:r w:rsidRPr="001F7E66">
              <w:rPr>
                <w:rFonts w:asciiTheme="minorHAnsi" w:hAnsiTheme="minorHAnsi"/>
                <w:b/>
                <w:sz w:val="24"/>
                <w:szCs w:val="24"/>
              </w:rPr>
              <w:t xml:space="preserve">Conduct a review of the pre-trial detention of females in order to determine the reasons for the high level of </w:t>
            </w:r>
            <w:r w:rsidR="007168A8">
              <w:rPr>
                <w:rFonts w:asciiTheme="minorHAnsi" w:hAnsiTheme="minorHAnsi"/>
                <w:b/>
                <w:sz w:val="24"/>
                <w:szCs w:val="24"/>
              </w:rPr>
              <w:t>females</w:t>
            </w:r>
            <w:r w:rsidRPr="001F7E66">
              <w:rPr>
                <w:rFonts w:asciiTheme="minorHAnsi" w:hAnsiTheme="minorHAnsi"/>
                <w:b/>
                <w:sz w:val="24"/>
                <w:szCs w:val="24"/>
              </w:rPr>
              <w:t xml:space="preserve"> subject </w:t>
            </w:r>
            <w:proofErr w:type="gramStart"/>
            <w:r w:rsidRPr="001F7E66">
              <w:rPr>
                <w:rFonts w:asciiTheme="minorHAnsi" w:hAnsiTheme="minorHAnsi"/>
                <w:b/>
                <w:sz w:val="24"/>
                <w:szCs w:val="24"/>
              </w:rPr>
              <w:t xml:space="preserve">to </w:t>
            </w:r>
            <w:r w:rsidR="007168A8">
              <w:rPr>
                <w:rFonts w:asciiTheme="minorHAnsi" w:hAnsiTheme="minorHAnsi"/>
                <w:b/>
                <w:sz w:val="24"/>
                <w:szCs w:val="24"/>
              </w:rPr>
              <w:t>]</w:t>
            </w:r>
            <w:r w:rsidRPr="001F7E66">
              <w:rPr>
                <w:rFonts w:asciiTheme="minorHAnsi" w:hAnsiTheme="minorHAnsi"/>
                <w:b/>
                <w:sz w:val="24"/>
                <w:szCs w:val="24"/>
              </w:rPr>
              <w:t>remand</w:t>
            </w:r>
            <w:proofErr w:type="gramEnd"/>
            <w:r w:rsidRPr="001F7E66">
              <w:rPr>
                <w:rFonts w:asciiTheme="minorHAnsi" w:hAnsiTheme="minorHAnsi"/>
                <w:b/>
                <w:sz w:val="24"/>
                <w:szCs w:val="24"/>
              </w:rPr>
              <w:t>.</w:t>
            </w:r>
          </w:p>
          <w:p w14:paraId="6C66E574" w14:textId="61FE3D2A" w:rsidR="003A3E7B" w:rsidRDefault="003A3E7B" w:rsidP="003A3E7B">
            <w:pPr>
              <w:pStyle w:val="ListParagraph"/>
              <w:numPr>
                <w:ilvl w:val="0"/>
                <w:numId w:val="19"/>
              </w:numPr>
              <w:spacing w:after="100" w:line="240" w:lineRule="auto"/>
              <w:jc w:val="both"/>
              <w:rPr>
                <w:rFonts w:asciiTheme="minorHAnsi" w:hAnsiTheme="minorHAnsi"/>
                <w:b/>
                <w:sz w:val="24"/>
                <w:szCs w:val="24"/>
              </w:rPr>
            </w:pPr>
            <w:r w:rsidRPr="001F7E66">
              <w:rPr>
                <w:rFonts w:asciiTheme="minorHAnsi" w:hAnsiTheme="minorHAnsi"/>
                <w:b/>
                <w:sz w:val="24"/>
                <w:szCs w:val="24"/>
              </w:rPr>
              <w:t>Develop gender-specific bail services and supports to reduce the numbers of women remanded pre-trial.</w:t>
            </w:r>
          </w:p>
          <w:p w14:paraId="5F6194A2" w14:textId="363CA675" w:rsidR="004B233E" w:rsidRPr="001F7E66" w:rsidRDefault="007168A8" w:rsidP="003A3E7B">
            <w:pPr>
              <w:pStyle w:val="ListParagraph"/>
              <w:numPr>
                <w:ilvl w:val="0"/>
                <w:numId w:val="19"/>
              </w:numPr>
              <w:spacing w:after="100" w:line="240" w:lineRule="auto"/>
              <w:jc w:val="both"/>
              <w:rPr>
                <w:rFonts w:asciiTheme="minorHAnsi" w:hAnsiTheme="minorHAnsi"/>
                <w:b/>
                <w:sz w:val="24"/>
                <w:szCs w:val="24"/>
              </w:rPr>
            </w:pPr>
            <w:r>
              <w:rPr>
                <w:rFonts w:asciiTheme="minorHAnsi" w:hAnsiTheme="minorHAnsi"/>
                <w:b/>
                <w:sz w:val="24"/>
                <w:szCs w:val="24"/>
              </w:rPr>
              <w:t xml:space="preserve">Implement the Joint Strategy for Women </w:t>
            </w:r>
            <w:proofErr w:type="gramStart"/>
            <w:r>
              <w:rPr>
                <w:rFonts w:asciiTheme="minorHAnsi" w:hAnsiTheme="minorHAnsi"/>
                <w:b/>
                <w:sz w:val="24"/>
                <w:szCs w:val="24"/>
              </w:rPr>
              <w:t>who</w:t>
            </w:r>
            <w:proofErr w:type="gramEnd"/>
            <w:r>
              <w:rPr>
                <w:rFonts w:asciiTheme="minorHAnsi" w:hAnsiTheme="minorHAnsi"/>
                <w:b/>
                <w:sz w:val="24"/>
                <w:szCs w:val="24"/>
              </w:rPr>
              <w:t xml:space="preserve"> Offend and develop </w:t>
            </w:r>
            <w:r w:rsidR="004B233E" w:rsidRPr="001F7E66">
              <w:rPr>
                <w:rFonts w:asciiTheme="minorHAnsi" w:hAnsiTheme="minorHAnsi"/>
                <w:b/>
                <w:sz w:val="24"/>
                <w:szCs w:val="24"/>
              </w:rPr>
              <w:t xml:space="preserve">gender-specific non-custodial </w:t>
            </w:r>
            <w:r>
              <w:rPr>
                <w:rFonts w:asciiTheme="minorHAnsi" w:hAnsiTheme="minorHAnsi"/>
                <w:b/>
                <w:sz w:val="24"/>
                <w:szCs w:val="24"/>
              </w:rPr>
              <w:t>options</w:t>
            </w:r>
            <w:r w:rsidR="004B233E" w:rsidRPr="001F7E66">
              <w:rPr>
                <w:rFonts w:asciiTheme="minorHAnsi" w:hAnsiTheme="minorHAnsi"/>
                <w:b/>
                <w:sz w:val="24"/>
                <w:szCs w:val="24"/>
              </w:rPr>
              <w:t xml:space="preserve"> for women, as an alternative to custodial sentences, which takes into account the complexity of female offenders’ needs.</w:t>
            </w:r>
          </w:p>
          <w:p w14:paraId="79065470" w14:textId="717D6EFD" w:rsidR="004B233E" w:rsidRPr="004B233E" w:rsidRDefault="004B233E" w:rsidP="003A3E7B">
            <w:pPr>
              <w:pStyle w:val="ListParagraph"/>
              <w:numPr>
                <w:ilvl w:val="0"/>
                <w:numId w:val="19"/>
              </w:numPr>
              <w:spacing w:after="100" w:line="240" w:lineRule="auto"/>
              <w:jc w:val="both"/>
              <w:rPr>
                <w:rFonts w:asciiTheme="minorHAnsi" w:hAnsiTheme="minorHAnsi"/>
                <w:b/>
                <w:sz w:val="24"/>
                <w:szCs w:val="24"/>
              </w:rPr>
            </w:pPr>
            <w:r w:rsidRPr="001F7E66">
              <w:rPr>
                <w:rFonts w:asciiTheme="minorHAnsi" w:hAnsiTheme="minorHAnsi"/>
                <w:b/>
                <w:sz w:val="24"/>
                <w:szCs w:val="24"/>
              </w:rPr>
              <w:t>Provide gender-specific open facilities for those very few women for whom a custodial sentence is suitable</w:t>
            </w:r>
          </w:p>
        </w:tc>
      </w:tr>
    </w:tbl>
    <w:p w14:paraId="18F463AA" w14:textId="77777777" w:rsidR="00831349" w:rsidRPr="004B233E" w:rsidRDefault="00831349" w:rsidP="004B233E">
      <w:pPr>
        <w:spacing w:after="100" w:line="240" w:lineRule="auto"/>
        <w:jc w:val="both"/>
        <w:rPr>
          <w:b/>
          <w:sz w:val="24"/>
          <w:szCs w:val="24"/>
        </w:rPr>
      </w:pPr>
    </w:p>
    <w:p w14:paraId="159AC4C0" w14:textId="77777777" w:rsidR="00181C43" w:rsidRDefault="00181C43" w:rsidP="00F76643">
      <w:pPr>
        <w:spacing w:after="100" w:line="240" w:lineRule="auto"/>
        <w:jc w:val="both"/>
        <w:rPr>
          <w:b/>
          <w:sz w:val="28"/>
          <w:szCs w:val="28"/>
          <w:u w:val="single"/>
        </w:rPr>
      </w:pPr>
    </w:p>
    <w:p w14:paraId="6D7ABA1C" w14:textId="77777777" w:rsidR="00181C43" w:rsidRDefault="00181C43" w:rsidP="00F76643">
      <w:pPr>
        <w:spacing w:after="100" w:line="240" w:lineRule="auto"/>
        <w:jc w:val="both"/>
        <w:rPr>
          <w:b/>
          <w:sz w:val="28"/>
          <w:szCs w:val="28"/>
          <w:u w:val="single"/>
        </w:rPr>
      </w:pPr>
    </w:p>
    <w:p w14:paraId="1842C580" w14:textId="77777777" w:rsidR="00181C43" w:rsidRDefault="00181C43" w:rsidP="00F76643">
      <w:pPr>
        <w:spacing w:after="100" w:line="240" w:lineRule="auto"/>
        <w:jc w:val="both"/>
        <w:rPr>
          <w:b/>
          <w:sz w:val="28"/>
          <w:szCs w:val="28"/>
          <w:u w:val="single"/>
        </w:rPr>
      </w:pPr>
    </w:p>
    <w:p w14:paraId="549F86C2" w14:textId="77777777" w:rsidR="00181C43" w:rsidRDefault="00181C43" w:rsidP="00F76643">
      <w:pPr>
        <w:spacing w:after="100" w:line="240" w:lineRule="auto"/>
        <w:jc w:val="both"/>
        <w:rPr>
          <w:b/>
          <w:sz w:val="28"/>
          <w:szCs w:val="28"/>
          <w:u w:val="single"/>
        </w:rPr>
      </w:pPr>
    </w:p>
    <w:p w14:paraId="0701905B" w14:textId="77777777" w:rsidR="00181C43" w:rsidRDefault="00181C43" w:rsidP="00F76643">
      <w:pPr>
        <w:spacing w:after="100" w:line="240" w:lineRule="auto"/>
        <w:jc w:val="both"/>
        <w:rPr>
          <w:b/>
          <w:sz w:val="28"/>
          <w:szCs w:val="28"/>
          <w:u w:val="single"/>
        </w:rPr>
      </w:pPr>
    </w:p>
    <w:p w14:paraId="620B984C" w14:textId="77777777" w:rsidR="00181C43" w:rsidRDefault="00181C43" w:rsidP="00F76643">
      <w:pPr>
        <w:spacing w:after="100" w:line="240" w:lineRule="auto"/>
        <w:jc w:val="both"/>
        <w:rPr>
          <w:b/>
          <w:sz w:val="28"/>
          <w:szCs w:val="28"/>
          <w:u w:val="single"/>
        </w:rPr>
      </w:pPr>
    </w:p>
    <w:p w14:paraId="71DE8003" w14:textId="77777777" w:rsidR="00181C43" w:rsidRDefault="00181C43" w:rsidP="00F76643">
      <w:pPr>
        <w:spacing w:after="100" w:line="240" w:lineRule="auto"/>
        <w:jc w:val="both"/>
        <w:rPr>
          <w:b/>
          <w:sz w:val="28"/>
          <w:szCs w:val="28"/>
          <w:u w:val="single"/>
        </w:rPr>
      </w:pPr>
    </w:p>
    <w:p w14:paraId="7FE1DC36" w14:textId="77777777" w:rsidR="00181C43" w:rsidRDefault="00181C43" w:rsidP="00F76643">
      <w:pPr>
        <w:spacing w:after="100" w:line="240" w:lineRule="auto"/>
        <w:jc w:val="both"/>
        <w:rPr>
          <w:b/>
          <w:sz w:val="28"/>
          <w:szCs w:val="28"/>
          <w:u w:val="single"/>
        </w:rPr>
      </w:pPr>
    </w:p>
    <w:p w14:paraId="16C9FDD4" w14:textId="77777777" w:rsidR="00181C43" w:rsidRDefault="00181C43" w:rsidP="00F76643">
      <w:pPr>
        <w:spacing w:after="100" w:line="240" w:lineRule="auto"/>
        <w:jc w:val="both"/>
        <w:rPr>
          <w:b/>
          <w:sz w:val="28"/>
          <w:szCs w:val="28"/>
          <w:u w:val="single"/>
        </w:rPr>
      </w:pPr>
    </w:p>
    <w:p w14:paraId="5E1B6B61" w14:textId="77777777" w:rsidR="00181C43" w:rsidRDefault="00181C43" w:rsidP="00F76643">
      <w:pPr>
        <w:spacing w:after="100" w:line="240" w:lineRule="auto"/>
        <w:jc w:val="both"/>
        <w:rPr>
          <w:b/>
          <w:sz w:val="28"/>
          <w:szCs w:val="28"/>
          <w:u w:val="single"/>
        </w:rPr>
      </w:pPr>
    </w:p>
    <w:p w14:paraId="03451334" w14:textId="77777777" w:rsidR="007168A8" w:rsidRDefault="007168A8" w:rsidP="00831349">
      <w:pPr>
        <w:jc w:val="both"/>
        <w:rPr>
          <w:b/>
          <w:sz w:val="28"/>
          <w:szCs w:val="28"/>
          <w:u w:val="single"/>
        </w:rPr>
      </w:pPr>
    </w:p>
    <w:p w14:paraId="240FE287" w14:textId="45FFD96D" w:rsidR="00831349" w:rsidRPr="001F7E66" w:rsidRDefault="007168A8" w:rsidP="00831349">
      <w:pPr>
        <w:jc w:val="both"/>
        <w:rPr>
          <w:b/>
          <w:sz w:val="28"/>
          <w:szCs w:val="28"/>
          <w:u w:val="single"/>
        </w:rPr>
      </w:pPr>
      <w:r>
        <w:rPr>
          <w:b/>
          <w:sz w:val="28"/>
          <w:szCs w:val="28"/>
          <w:u w:val="single"/>
        </w:rPr>
        <w:lastRenderedPageBreak/>
        <w:t xml:space="preserve">Issue 2: Conditions, </w:t>
      </w:r>
      <w:r w:rsidR="00831349" w:rsidRPr="001F7E66">
        <w:rPr>
          <w:b/>
          <w:sz w:val="28"/>
          <w:szCs w:val="28"/>
          <w:u w:val="single"/>
        </w:rPr>
        <w:t xml:space="preserve">Regimes </w:t>
      </w:r>
      <w:r>
        <w:rPr>
          <w:b/>
          <w:sz w:val="28"/>
          <w:szCs w:val="28"/>
          <w:u w:val="single"/>
        </w:rPr>
        <w:t>and Activities</w:t>
      </w:r>
    </w:p>
    <w:p w14:paraId="022B91CD" w14:textId="5C851EA4" w:rsidR="007168A8" w:rsidRPr="007168A8" w:rsidRDefault="007168A8" w:rsidP="00831349">
      <w:pPr>
        <w:jc w:val="both"/>
        <w:rPr>
          <w:b/>
          <w:i/>
          <w:sz w:val="24"/>
          <w:szCs w:val="24"/>
        </w:rPr>
      </w:pPr>
      <w:r>
        <w:rPr>
          <w:b/>
          <w:i/>
          <w:sz w:val="24"/>
          <w:szCs w:val="24"/>
        </w:rPr>
        <w:t>Overcrowding</w:t>
      </w:r>
    </w:p>
    <w:p w14:paraId="01094244" w14:textId="5DF08D1B" w:rsidR="00831349" w:rsidRPr="001F7E66" w:rsidRDefault="00831349" w:rsidP="00831349">
      <w:pPr>
        <w:jc w:val="both"/>
        <w:rPr>
          <w:sz w:val="24"/>
          <w:szCs w:val="24"/>
        </w:rPr>
      </w:pPr>
      <w:r w:rsidRPr="001F7E66">
        <w:rPr>
          <w:sz w:val="24"/>
          <w:szCs w:val="24"/>
        </w:rPr>
        <w:t xml:space="preserve">The conditions and regimes in existing women’s prisons in Ireland remain a substantial cause for concern. While the male prison estate has seen a decrease in overcrowding levels over the past number of years, </w:t>
      </w:r>
      <w:r w:rsidRPr="007168A8">
        <w:rPr>
          <w:sz w:val="24"/>
          <w:szCs w:val="24"/>
        </w:rPr>
        <w:t>the disproportionate increase in the female prison population has resulted in persistent overcrowding</w:t>
      </w:r>
      <w:r w:rsidRPr="001F7E66">
        <w:rPr>
          <w:sz w:val="24"/>
          <w:szCs w:val="24"/>
        </w:rPr>
        <w:t xml:space="preserve"> at both </w:t>
      </w:r>
      <w:proofErr w:type="spellStart"/>
      <w:r w:rsidRPr="001F7E66">
        <w:rPr>
          <w:sz w:val="24"/>
          <w:szCs w:val="24"/>
        </w:rPr>
        <w:t>Dóchas</w:t>
      </w:r>
      <w:proofErr w:type="spellEnd"/>
      <w:r w:rsidRPr="001F7E66">
        <w:rPr>
          <w:sz w:val="24"/>
          <w:szCs w:val="24"/>
        </w:rPr>
        <w:t xml:space="preserve"> and Limerick. On 1</w:t>
      </w:r>
      <w:r w:rsidRPr="001F7E66">
        <w:rPr>
          <w:sz w:val="24"/>
          <w:szCs w:val="24"/>
          <w:vertAlign w:val="superscript"/>
        </w:rPr>
        <w:t>st</w:t>
      </w:r>
      <w:r w:rsidRPr="001F7E66">
        <w:rPr>
          <w:sz w:val="24"/>
          <w:szCs w:val="24"/>
        </w:rPr>
        <w:t xml:space="preserve"> September 2016, the </w:t>
      </w:r>
      <w:proofErr w:type="spellStart"/>
      <w:r w:rsidRPr="001F7E66">
        <w:rPr>
          <w:sz w:val="24"/>
          <w:szCs w:val="24"/>
        </w:rPr>
        <w:t>Dóchas</w:t>
      </w:r>
      <w:proofErr w:type="spellEnd"/>
      <w:r w:rsidRPr="001F7E66">
        <w:rPr>
          <w:sz w:val="24"/>
          <w:szCs w:val="24"/>
        </w:rPr>
        <w:t xml:space="preserve"> Centre was operating at 109% capacity (114 women living in a space built for 105), and Limerick prison was operating at 138% capacity (33 women living in a space suitable for 24).</w:t>
      </w:r>
      <w:r w:rsidRPr="001F7E66">
        <w:rPr>
          <w:rStyle w:val="FootnoteReference"/>
          <w:sz w:val="24"/>
          <w:szCs w:val="24"/>
        </w:rPr>
        <w:footnoteReference w:id="18"/>
      </w:r>
      <w:r w:rsidR="007168A8" w:rsidRPr="007168A8">
        <w:rPr>
          <w:sz w:val="24"/>
          <w:szCs w:val="24"/>
        </w:rPr>
        <w:t xml:space="preserve"> </w:t>
      </w:r>
      <w:r w:rsidR="007168A8" w:rsidRPr="001F7E66">
        <w:rPr>
          <w:sz w:val="24"/>
          <w:szCs w:val="24"/>
        </w:rPr>
        <w:t xml:space="preserve">It is common for both </w:t>
      </w:r>
      <w:r w:rsidR="007168A8">
        <w:rPr>
          <w:sz w:val="24"/>
          <w:szCs w:val="24"/>
        </w:rPr>
        <w:t xml:space="preserve">female </w:t>
      </w:r>
      <w:r w:rsidR="007168A8" w:rsidRPr="001F7E66">
        <w:rPr>
          <w:sz w:val="24"/>
          <w:szCs w:val="24"/>
        </w:rPr>
        <w:t>prisons to operate at this level of overcapacity.</w:t>
      </w:r>
    </w:p>
    <w:p w14:paraId="397FF5E4" w14:textId="3BF7E554" w:rsidR="004029E1" w:rsidRPr="001F7E66" w:rsidRDefault="004029E1" w:rsidP="00831349">
      <w:pPr>
        <w:jc w:val="both"/>
        <w:rPr>
          <w:sz w:val="24"/>
          <w:szCs w:val="24"/>
        </w:rPr>
      </w:pPr>
      <w:r w:rsidRPr="001F7E66">
        <w:rPr>
          <w:sz w:val="24"/>
          <w:szCs w:val="24"/>
        </w:rPr>
        <w:t>The lack of alternatives to committal on remand and custodial sentences, as discussed with regards to Issues 1,</w:t>
      </w:r>
      <w:r w:rsidR="00075B71" w:rsidRPr="001F7E66">
        <w:rPr>
          <w:sz w:val="24"/>
          <w:szCs w:val="24"/>
        </w:rPr>
        <w:t xml:space="preserve"> </w:t>
      </w:r>
      <w:r w:rsidRPr="001F7E66">
        <w:rPr>
          <w:sz w:val="24"/>
          <w:szCs w:val="24"/>
        </w:rPr>
        <w:t xml:space="preserve">2 and 3 above, provide the main obstacle in alleviating overcrowding in Ireland’s women’s prisons. This has been clearly highlighted in the 2014 Strategic Review of Penal Policy, which stated that it is </w:t>
      </w:r>
    </w:p>
    <w:p w14:paraId="45CBAE13" w14:textId="71639D69" w:rsidR="00181C43" w:rsidRDefault="004029E1" w:rsidP="00181C43">
      <w:pPr>
        <w:ind w:left="720"/>
        <w:jc w:val="both"/>
        <w:rPr>
          <w:i/>
          <w:sz w:val="24"/>
          <w:szCs w:val="24"/>
        </w:rPr>
      </w:pPr>
      <w:r w:rsidRPr="001F7E66">
        <w:rPr>
          <w:i/>
          <w:sz w:val="24"/>
          <w:szCs w:val="24"/>
        </w:rPr>
        <w:t>‘clear…that women’s prisons are now the most overcrowded in the State…the Review Group are concerned at the under use of alternative community programmes for women. The Review Group is also critical of the lack of open prison facilities for women’.</w:t>
      </w:r>
      <w:r w:rsidRPr="001F7E66">
        <w:rPr>
          <w:rStyle w:val="FootnoteReference"/>
          <w:i/>
          <w:sz w:val="24"/>
          <w:szCs w:val="24"/>
        </w:rPr>
        <w:footnoteReference w:id="19"/>
      </w:r>
    </w:p>
    <w:p w14:paraId="562E57B7" w14:textId="08E3897E" w:rsidR="007168A8" w:rsidRDefault="007168A8" w:rsidP="007168A8">
      <w:pPr>
        <w:jc w:val="both"/>
        <w:rPr>
          <w:sz w:val="24"/>
          <w:szCs w:val="24"/>
        </w:rPr>
      </w:pPr>
      <w:r w:rsidRPr="001F7E66">
        <w:rPr>
          <w:sz w:val="24"/>
          <w:szCs w:val="24"/>
        </w:rPr>
        <w:t xml:space="preserve">Overcrowding has a </w:t>
      </w:r>
      <w:r w:rsidRPr="007168A8">
        <w:rPr>
          <w:sz w:val="24"/>
          <w:szCs w:val="24"/>
        </w:rPr>
        <w:t xml:space="preserve">detrimental impact on the everyday experiences of both prisoners and prison staff. </w:t>
      </w:r>
      <w:r w:rsidRPr="001F7E66">
        <w:rPr>
          <w:sz w:val="24"/>
          <w:szCs w:val="24"/>
        </w:rPr>
        <w:t>It creates an uncomfortable living environment for prisoners, leads to the curtailment of services such as educational classes and hospital appointments, leads to a tense and fraught atmosphere, and thus inhibits an environment conducive to rehabilitation.</w:t>
      </w:r>
      <w:r w:rsidRPr="001F7E66">
        <w:rPr>
          <w:rStyle w:val="FootnoteReference"/>
          <w:sz w:val="24"/>
          <w:szCs w:val="24"/>
        </w:rPr>
        <w:footnoteReference w:id="20"/>
      </w:r>
      <w:r w:rsidRPr="001F7E66">
        <w:rPr>
          <w:sz w:val="24"/>
          <w:szCs w:val="24"/>
        </w:rPr>
        <w:t xml:space="preserve"> Chronic overcrowding means that the prison simply cannot operate as it should. </w:t>
      </w:r>
    </w:p>
    <w:p w14:paraId="1A1E81D3" w14:textId="6271D321" w:rsidR="007168A8" w:rsidRPr="001F7E66" w:rsidRDefault="007168A8" w:rsidP="007168A8">
      <w:pPr>
        <w:jc w:val="both"/>
        <w:rPr>
          <w:sz w:val="24"/>
          <w:szCs w:val="24"/>
        </w:rPr>
      </w:pPr>
      <w:r w:rsidRPr="001F7E66">
        <w:rPr>
          <w:sz w:val="24"/>
          <w:szCs w:val="24"/>
        </w:rPr>
        <w:t>The issue has been flagged on numerous occasions, including by the Inspector of Prisons, who deemed the situation to be ‘</w:t>
      </w:r>
      <w:r w:rsidRPr="007168A8">
        <w:rPr>
          <w:i/>
          <w:sz w:val="24"/>
          <w:szCs w:val="24"/>
        </w:rPr>
        <w:t>unacceptable</w:t>
      </w:r>
      <w:r w:rsidRPr="001F7E66">
        <w:rPr>
          <w:sz w:val="24"/>
          <w:szCs w:val="24"/>
        </w:rPr>
        <w:t xml:space="preserve">’, and by the </w:t>
      </w:r>
      <w:proofErr w:type="spellStart"/>
      <w:r w:rsidRPr="001F7E66">
        <w:rPr>
          <w:sz w:val="24"/>
          <w:szCs w:val="24"/>
        </w:rPr>
        <w:t>Dóchas</w:t>
      </w:r>
      <w:proofErr w:type="spellEnd"/>
      <w:r w:rsidRPr="001F7E66">
        <w:rPr>
          <w:sz w:val="24"/>
          <w:szCs w:val="24"/>
        </w:rPr>
        <w:t xml:space="preserve"> Visiting Committee, who expressed concern ‘</w:t>
      </w:r>
      <w:r w:rsidRPr="007168A8">
        <w:rPr>
          <w:i/>
          <w:sz w:val="24"/>
          <w:szCs w:val="24"/>
        </w:rPr>
        <w:t>that this pattern of regular overcrowding will continue and consequently the unacceptable knock on effects resurface</w:t>
      </w:r>
      <w:r w:rsidRPr="001F7E66">
        <w:rPr>
          <w:sz w:val="24"/>
          <w:szCs w:val="24"/>
        </w:rPr>
        <w:t>’.</w:t>
      </w:r>
      <w:r w:rsidRPr="001F7E66">
        <w:rPr>
          <w:rStyle w:val="FootnoteReference"/>
          <w:sz w:val="24"/>
          <w:szCs w:val="24"/>
        </w:rPr>
        <w:footnoteReference w:id="21"/>
      </w:r>
      <w:r w:rsidRPr="001F7E66">
        <w:rPr>
          <w:sz w:val="24"/>
          <w:szCs w:val="24"/>
        </w:rPr>
        <w:t xml:space="preserve"> While the Prison Service has made a concerted attempt to deal with overcrowding at Limerick with the construction of a new unit</w:t>
      </w:r>
      <w:r w:rsidRPr="00F62426">
        <w:rPr>
          <w:sz w:val="24"/>
          <w:szCs w:val="24"/>
        </w:rPr>
        <w:t xml:space="preserve"> </w:t>
      </w:r>
      <w:r w:rsidRPr="00F62426">
        <w:rPr>
          <w:i/>
          <w:sz w:val="24"/>
          <w:szCs w:val="24"/>
        </w:rPr>
        <w:t>“to discontinue the use of the severely dated and unfit for purpose female facility there”</w:t>
      </w:r>
      <w:r>
        <w:rPr>
          <w:rStyle w:val="FootnoteReference"/>
          <w:i/>
          <w:sz w:val="24"/>
          <w:szCs w:val="24"/>
        </w:rPr>
        <w:footnoteReference w:id="22"/>
      </w:r>
      <w:r w:rsidRPr="00F62426">
        <w:rPr>
          <w:i/>
          <w:sz w:val="24"/>
          <w:szCs w:val="24"/>
        </w:rPr>
        <w:t xml:space="preserve"> </w:t>
      </w:r>
      <w:r w:rsidRPr="007168A8">
        <w:rPr>
          <w:sz w:val="24"/>
          <w:szCs w:val="24"/>
        </w:rPr>
        <w:t>it is unclear what plans there are to improve the conditions at</w:t>
      </w:r>
      <w:r>
        <w:rPr>
          <w:i/>
          <w:sz w:val="24"/>
          <w:szCs w:val="24"/>
        </w:rPr>
        <w:t xml:space="preserve"> </w:t>
      </w:r>
      <w:proofErr w:type="spellStart"/>
      <w:r w:rsidRPr="007168A8">
        <w:rPr>
          <w:sz w:val="24"/>
          <w:szCs w:val="24"/>
        </w:rPr>
        <w:t>Dóchas</w:t>
      </w:r>
      <w:proofErr w:type="spellEnd"/>
      <w:r w:rsidRPr="007168A8">
        <w:rPr>
          <w:sz w:val="24"/>
          <w:szCs w:val="24"/>
        </w:rPr>
        <w:t>, despite</w:t>
      </w:r>
      <w:r w:rsidRPr="001F7E66">
        <w:rPr>
          <w:sz w:val="24"/>
          <w:szCs w:val="24"/>
        </w:rPr>
        <w:t xml:space="preserve"> the enduring, long term nature of the problem. While the Irish Prison Service has acknowledged the persistence of overcrowding at </w:t>
      </w:r>
      <w:proofErr w:type="spellStart"/>
      <w:r w:rsidRPr="001F7E66">
        <w:rPr>
          <w:sz w:val="24"/>
          <w:szCs w:val="24"/>
        </w:rPr>
        <w:t>Dóchas</w:t>
      </w:r>
      <w:proofErr w:type="spellEnd"/>
      <w:r w:rsidRPr="001F7E66">
        <w:rPr>
          <w:sz w:val="24"/>
          <w:szCs w:val="24"/>
        </w:rPr>
        <w:t xml:space="preserve">, it has not produced any plans to deal with the situation at the </w:t>
      </w:r>
      <w:r w:rsidRPr="001F7E66">
        <w:rPr>
          <w:sz w:val="24"/>
          <w:szCs w:val="24"/>
        </w:rPr>
        <w:lastRenderedPageBreak/>
        <w:t xml:space="preserve">facility, nor was there any mention of plans to reduce overcrowding in </w:t>
      </w:r>
      <w:proofErr w:type="spellStart"/>
      <w:r w:rsidRPr="001F7E66">
        <w:rPr>
          <w:sz w:val="24"/>
          <w:szCs w:val="24"/>
        </w:rPr>
        <w:t>Dóchas</w:t>
      </w:r>
      <w:proofErr w:type="spellEnd"/>
      <w:r w:rsidRPr="001F7E66">
        <w:rPr>
          <w:sz w:val="24"/>
          <w:szCs w:val="24"/>
        </w:rPr>
        <w:t xml:space="preserve"> in the Prison Service’s </w:t>
      </w:r>
      <w:r w:rsidRPr="001F7E66">
        <w:rPr>
          <w:i/>
          <w:sz w:val="24"/>
          <w:szCs w:val="24"/>
        </w:rPr>
        <w:t>Capital Plan 2016-2021</w:t>
      </w:r>
      <w:r w:rsidRPr="001F7E66">
        <w:rPr>
          <w:sz w:val="24"/>
          <w:szCs w:val="24"/>
        </w:rPr>
        <w:t>.</w:t>
      </w:r>
      <w:r w:rsidRPr="001F7E66">
        <w:rPr>
          <w:rStyle w:val="FootnoteReference"/>
          <w:sz w:val="24"/>
          <w:szCs w:val="24"/>
        </w:rPr>
        <w:footnoteReference w:id="23"/>
      </w:r>
    </w:p>
    <w:p w14:paraId="4B8AA07A" w14:textId="7330F5B6" w:rsidR="007168A8" w:rsidRDefault="007168A8" w:rsidP="007168A8">
      <w:pPr>
        <w:jc w:val="both"/>
        <w:rPr>
          <w:b/>
          <w:i/>
          <w:sz w:val="24"/>
          <w:szCs w:val="24"/>
        </w:rPr>
      </w:pPr>
      <w:r>
        <w:rPr>
          <w:b/>
          <w:i/>
          <w:sz w:val="24"/>
          <w:szCs w:val="24"/>
        </w:rPr>
        <w:t>Education</w:t>
      </w:r>
    </w:p>
    <w:p w14:paraId="542809D8" w14:textId="77777777" w:rsidR="007168A8" w:rsidRPr="001F7E66" w:rsidRDefault="007168A8" w:rsidP="007168A8">
      <w:pPr>
        <w:spacing w:after="100" w:line="240" w:lineRule="auto"/>
        <w:jc w:val="both"/>
        <w:rPr>
          <w:sz w:val="24"/>
          <w:szCs w:val="24"/>
        </w:rPr>
      </w:pPr>
      <w:r w:rsidRPr="001F7E66">
        <w:rPr>
          <w:sz w:val="24"/>
          <w:szCs w:val="24"/>
        </w:rPr>
        <w:t xml:space="preserve">The 2015 </w:t>
      </w:r>
      <w:proofErr w:type="spellStart"/>
      <w:r w:rsidRPr="001F7E66">
        <w:rPr>
          <w:sz w:val="24"/>
          <w:szCs w:val="24"/>
        </w:rPr>
        <w:t>Dóchas</w:t>
      </w:r>
      <w:proofErr w:type="spellEnd"/>
      <w:r w:rsidRPr="001F7E66">
        <w:rPr>
          <w:sz w:val="24"/>
          <w:szCs w:val="24"/>
        </w:rPr>
        <w:t xml:space="preserve"> Visiting Committee noted that frequent staff shortages have had a negative impact on education programmes, which have been cancelled repeatedly due to staff shortages.</w:t>
      </w:r>
      <w:r w:rsidRPr="001F7E66">
        <w:rPr>
          <w:rStyle w:val="FootnoteReference"/>
          <w:sz w:val="24"/>
          <w:szCs w:val="24"/>
        </w:rPr>
        <w:footnoteReference w:id="24"/>
      </w:r>
      <w:r w:rsidRPr="001F7E66">
        <w:rPr>
          <w:sz w:val="24"/>
          <w:szCs w:val="24"/>
        </w:rPr>
        <w:t xml:space="preserve"> Similarly, the VC notes that classes tend to remain at very basic levels, with few opportunities for prisoners to advance in certain areas; for instance, horticulture and basic food preparation classes at </w:t>
      </w:r>
      <w:proofErr w:type="spellStart"/>
      <w:r w:rsidRPr="001F7E66">
        <w:rPr>
          <w:sz w:val="24"/>
          <w:szCs w:val="24"/>
        </w:rPr>
        <w:t>Dóchas</w:t>
      </w:r>
      <w:proofErr w:type="spellEnd"/>
      <w:r w:rsidRPr="001F7E66">
        <w:rPr>
          <w:sz w:val="24"/>
          <w:szCs w:val="24"/>
        </w:rPr>
        <w:t xml:space="preserve"> present no opportunity to advance to a more senior level.</w:t>
      </w:r>
      <w:r w:rsidRPr="001F7E66">
        <w:rPr>
          <w:rStyle w:val="FootnoteReference"/>
          <w:sz w:val="24"/>
          <w:szCs w:val="24"/>
        </w:rPr>
        <w:footnoteReference w:id="25"/>
      </w:r>
      <w:r w:rsidRPr="001F7E66">
        <w:rPr>
          <w:sz w:val="24"/>
          <w:szCs w:val="24"/>
        </w:rPr>
        <w:t xml:space="preserve"> </w:t>
      </w:r>
    </w:p>
    <w:p w14:paraId="203B32F4" w14:textId="56F50719" w:rsidR="007168A8" w:rsidRDefault="007168A8" w:rsidP="00CE4C35">
      <w:pPr>
        <w:spacing w:after="100" w:line="240" w:lineRule="auto"/>
        <w:jc w:val="both"/>
        <w:rPr>
          <w:sz w:val="24"/>
          <w:szCs w:val="24"/>
        </w:rPr>
      </w:pPr>
      <w:r w:rsidRPr="001F7E66">
        <w:rPr>
          <w:sz w:val="24"/>
          <w:szCs w:val="24"/>
        </w:rPr>
        <w:t xml:space="preserve">Physical health and education classes are very important to prisoner’s mental and physical health, post-release reintegration and employment opportunities, and their overall rehabilitation. The situation described above runs contrary to CEDAW Articles 3, 10 (a) and 10 (e). </w:t>
      </w:r>
    </w:p>
    <w:p w14:paraId="111E40C6" w14:textId="77777777" w:rsidR="00CE4C35" w:rsidRPr="00CE4C35" w:rsidRDefault="00CE4C35" w:rsidP="00CE4C35">
      <w:pPr>
        <w:spacing w:after="100" w:line="240" w:lineRule="auto"/>
        <w:jc w:val="both"/>
        <w:rPr>
          <w:sz w:val="24"/>
          <w:szCs w:val="24"/>
        </w:rPr>
      </w:pPr>
    </w:p>
    <w:tbl>
      <w:tblPr>
        <w:tblStyle w:val="TableGrid"/>
        <w:tblW w:w="0" w:type="auto"/>
        <w:tblLook w:val="04A0" w:firstRow="1" w:lastRow="0" w:firstColumn="1" w:lastColumn="0" w:noHBand="0" w:noVBand="1"/>
      </w:tblPr>
      <w:tblGrid>
        <w:gridCol w:w="9016"/>
      </w:tblGrid>
      <w:tr w:rsidR="00181C43" w14:paraId="095FB1BB" w14:textId="77777777" w:rsidTr="00181C43">
        <w:tc>
          <w:tcPr>
            <w:tcW w:w="9016" w:type="dxa"/>
          </w:tcPr>
          <w:p w14:paraId="049D8C31" w14:textId="1F7BFB2A" w:rsidR="00181C43" w:rsidRPr="001F7E66" w:rsidRDefault="00181C43" w:rsidP="00181C43">
            <w:pPr>
              <w:spacing w:after="100"/>
              <w:jc w:val="both"/>
              <w:rPr>
                <w:rFonts w:asciiTheme="minorHAnsi" w:hAnsiTheme="minorHAnsi"/>
                <w:b/>
                <w:sz w:val="24"/>
                <w:szCs w:val="24"/>
              </w:rPr>
            </w:pPr>
            <w:r w:rsidRPr="001F7E66">
              <w:rPr>
                <w:rFonts w:asciiTheme="minorHAnsi" w:hAnsiTheme="minorHAnsi"/>
                <w:b/>
                <w:sz w:val="24"/>
                <w:szCs w:val="24"/>
              </w:rPr>
              <w:t xml:space="preserve">IPRT recommends </w:t>
            </w:r>
          </w:p>
          <w:p w14:paraId="284157C6" w14:textId="77777777" w:rsidR="00181C43" w:rsidRDefault="00181C43" w:rsidP="00CE4C35">
            <w:pPr>
              <w:pStyle w:val="ListParagraph"/>
              <w:numPr>
                <w:ilvl w:val="0"/>
                <w:numId w:val="32"/>
              </w:numPr>
              <w:spacing w:after="100" w:line="240" w:lineRule="auto"/>
              <w:jc w:val="both"/>
              <w:rPr>
                <w:rFonts w:eastAsia="Times New Roman"/>
                <w:b/>
                <w:sz w:val="24"/>
                <w:szCs w:val="24"/>
              </w:rPr>
            </w:pPr>
            <w:r w:rsidRPr="00CE4C35">
              <w:rPr>
                <w:rFonts w:eastAsia="Times New Roman"/>
                <w:b/>
                <w:sz w:val="24"/>
                <w:szCs w:val="24"/>
              </w:rPr>
              <w:t xml:space="preserve">Establish open facilities, introduce gender-specific alternatives such as home leave, halfway houses and community based </w:t>
            </w:r>
            <w:proofErr w:type="spellStart"/>
            <w:r w:rsidRPr="00CE4C35">
              <w:rPr>
                <w:rFonts w:eastAsia="Times New Roman"/>
                <w:b/>
                <w:sz w:val="24"/>
                <w:szCs w:val="24"/>
              </w:rPr>
              <w:t>programmes</w:t>
            </w:r>
            <w:proofErr w:type="spellEnd"/>
            <w:r w:rsidRPr="00CE4C35">
              <w:rPr>
                <w:rFonts w:eastAsia="Times New Roman"/>
                <w:b/>
                <w:sz w:val="24"/>
                <w:szCs w:val="24"/>
              </w:rPr>
              <w:t xml:space="preserve"> and services, gender-specific community sanctions, diversion </w:t>
            </w:r>
            <w:proofErr w:type="spellStart"/>
            <w:r w:rsidRPr="00CE4C35">
              <w:rPr>
                <w:rFonts w:eastAsia="Times New Roman"/>
                <w:b/>
                <w:sz w:val="24"/>
                <w:szCs w:val="24"/>
              </w:rPr>
              <w:t>programmes</w:t>
            </w:r>
            <w:proofErr w:type="spellEnd"/>
            <w:r w:rsidRPr="00CE4C35">
              <w:rPr>
                <w:rFonts w:eastAsia="Times New Roman"/>
                <w:b/>
                <w:sz w:val="24"/>
                <w:szCs w:val="24"/>
              </w:rPr>
              <w:t xml:space="preserve"> and holistic services in the community, in order to reduce overcrowding in Ireland’s women’s prisons and to provide a more effective response to women who offend. </w:t>
            </w:r>
          </w:p>
          <w:p w14:paraId="4A905E3C" w14:textId="77777777" w:rsidR="00CE4C35" w:rsidRDefault="00CE4C35" w:rsidP="00CE4C35">
            <w:pPr>
              <w:pStyle w:val="ListParagraph"/>
              <w:numPr>
                <w:ilvl w:val="0"/>
                <w:numId w:val="32"/>
              </w:numPr>
              <w:spacing w:after="100" w:line="240" w:lineRule="auto"/>
              <w:jc w:val="both"/>
              <w:rPr>
                <w:rFonts w:eastAsia="Times New Roman"/>
                <w:b/>
                <w:sz w:val="24"/>
                <w:szCs w:val="24"/>
              </w:rPr>
            </w:pPr>
            <w:r>
              <w:rPr>
                <w:rFonts w:eastAsia="Times New Roman"/>
                <w:b/>
                <w:sz w:val="24"/>
                <w:szCs w:val="24"/>
              </w:rPr>
              <w:t>Address the persistent problem of staff shortages to ensure that women can access education and meaningful activities on a consistent basis</w:t>
            </w:r>
          </w:p>
          <w:p w14:paraId="550DB182" w14:textId="725F4C27" w:rsidR="00CE4C35" w:rsidRPr="00CE4C35" w:rsidRDefault="00CE4C35" w:rsidP="00CE4C35">
            <w:pPr>
              <w:pStyle w:val="ListParagraph"/>
              <w:numPr>
                <w:ilvl w:val="0"/>
                <w:numId w:val="32"/>
              </w:numPr>
              <w:spacing w:after="100" w:line="240" w:lineRule="auto"/>
              <w:jc w:val="both"/>
              <w:rPr>
                <w:rFonts w:eastAsia="Times New Roman"/>
                <w:b/>
                <w:sz w:val="24"/>
                <w:szCs w:val="24"/>
              </w:rPr>
            </w:pPr>
            <w:r>
              <w:rPr>
                <w:rFonts w:eastAsia="Times New Roman"/>
                <w:b/>
                <w:sz w:val="24"/>
                <w:szCs w:val="24"/>
              </w:rPr>
              <w:t>Provide further investment in education to allow women to advance to more senior levels in their education while in prison.</w:t>
            </w:r>
          </w:p>
        </w:tc>
      </w:tr>
    </w:tbl>
    <w:p w14:paraId="3DB8B893" w14:textId="77777777" w:rsidR="00F11956" w:rsidRPr="001F7E66" w:rsidRDefault="00F11956" w:rsidP="00F11956">
      <w:pPr>
        <w:spacing w:after="100" w:line="240" w:lineRule="auto"/>
        <w:jc w:val="both"/>
        <w:rPr>
          <w:b/>
          <w:sz w:val="24"/>
          <w:szCs w:val="24"/>
        </w:rPr>
      </w:pPr>
    </w:p>
    <w:p w14:paraId="461BBDAE" w14:textId="77777777" w:rsidR="00484CC4" w:rsidRDefault="00484CC4" w:rsidP="00F11956">
      <w:pPr>
        <w:spacing w:after="100" w:line="240" w:lineRule="auto"/>
        <w:jc w:val="both"/>
        <w:rPr>
          <w:b/>
          <w:sz w:val="28"/>
          <w:szCs w:val="28"/>
          <w:u w:val="single"/>
        </w:rPr>
      </w:pPr>
    </w:p>
    <w:p w14:paraId="31488438" w14:textId="77777777" w:rsidR="00484CC4" w:rsidRDefault="00484CC4" w:rsidP="00F11956">
      <w:pPr>
        <w:spacing w:after="100" w:line="240" w:lineRule="auto"/>
        <w:jc w:val="both"/>
        <w:rPr>
          <w:b/>
          <w:sz w:val="28"/>
          <w:szCs w:val="28"/>
          <w:u w:val="single"/>
        </w:rPr>
      </w:pPr>
    </w:p>
    <w:p w14:paraId="4605212D" w14:textId="77777777" w:rsidR="00484CC4" w:rsidRDefault="00484CC4" w:rsidP="00F11956">
      <w:pPr>
        <w:spacing w:after="100" w:line="240" w:lineRule="auto"/>
        <w:jc w:val="both"/>
        <w:rPr>
          <w:b/>
          <w:sz w:val="28"/>
          <w:szCs w:val="28"/>
          <w:u w:val="single"/>
        </w:rPr>
      </w:pPr>
    </w:p>
    <w:p w14:paraId="4DD6841A" w14:textId="77777777" w:rsidR="00484CC4" w:rsidRDefault="00484CC4" w:rsidP="00F11956">
      <w:pPr>
        <w:spacing w:after="100" w:line="240" w:lineRule="auto"/>
        <w:jc w:val="both"/>
        <w:rPr>
          <w:b/>
          <w:sz w:val="28"/>
          <w:szCs w:val="28"/>
          <w:u w:val="single"/>
        </w:rPr>
      </w:pPr>
    </w:p>
    <w:p w14:paraId="3996C199" w14:textId="77777777" w:rsidR="00484CC4" w:rsidRDefault="00484CC4" w:rsidP="00F11956">
      <w:pPr>
        <w:spacing w:after="100" w:line="240" w:lineRule="auto"/>
        <w:jc w:val="both"/>
        <w:rPr>
          <w:b/>
          <w:sz w:val="28"/>
          <w:szCs w:val="28"/>
          <w:u w:val="single"/>
        </w:rPr>
      </w:pPr>
    </w:p>
    <w:p w14:paraId="678DD07D" w14:textId="77777777" w:rsidR="00484CC4" w:rsidRDefault="00484CC4" w:rsidP="00F11956">
      <w:pPr>
        <w:spacing w:after="100" w:line="240" w:lineRule="auto"/>
        <w:jc w:val="both"/>
        <w:rPr>
          <w:b/>
          <w:sz w:val="28"/>
          <w:szCs w:val="28"/>
          <w:u w:val="single"/>
        </w:rPr>
      </w:pPr>
    </w:p>
    <w:p w14:paraId="4684374F" w14:textId="77777777" w:rsidR="00484CC4" w:rsidRDefault="00484CC4" w:rsidP="00F11956">
      <w:pPr>
        <w:spacing w:after="100" w:line="240" w:lineRule="auto"/>
        <w:jc w:val="both"/>
        <w:rPr>
          <w:b/>
          <w:sz w:val="28"/>
          <w:szCs w:val="28"/>
          <w:u w:val="single"/>
        </w:rPr>
      </w:pPr>
    </w:p>
    <w:p w14:paraId="594A9AC1" w14:textId="77777777" w:rsidR="00484CC4" w:rsidRDefault="00484CC4" w:rsidP="00F11956">
      <w:pPr>
        <w:spacing w:after="100" w:line="240" w:lineRule="auto"/>
        <w:jc w:val="both"/>
        <w:rPr>
          <w:b/>
          <w:sz w:val="28"/>
          <w:szCs w:val="28"/>
          <w:u w:val="single"/>
        </w:rPr>
      </w:pPr>
    </w:p>
    <w:p w14:paraId="1E1FBBC7" w14:textId="77777777" w:rsidR="00484CC4" w:rsidRDefault="00484CC4" w:rsidP="00F11956">
      <w:pPr>
        <w:spacing w:after="100" w:line="240" w:lineRule="auto"/>
        <w:jc w:val="both"/>
        <w:rPr>
          <w:b/>
          <w:sz w:val="28"/>
          <w:szCs w:val="28"/>
          <w:u w:val="single"/>
        </w:rPr>
      </w:pPr>
    </w:p>
    <w:p w14:paraId="48657DD0" w14:textId="7847C927" w:rsidR="00CE4C35" w:rsidRPr="001F7E66" w:rsidRDefault="003C3995" w:rsidP="00CE4C35">
      <w:pPr>
        <w:spacing w:after="100" w:line="240" w:lineRule="auto"/>
        <w:jc w:val="both"/>
        <w:rPr>
          <w:b/>
          <w:sz w:val="28"/>
          <w:szCs w:val="28"/>
          <w:u w:val="single"/>
        </w:rPr>
      </w:pPr>
      <w:r>
        <w:rPr>
          <w:b/>
          <w:sz w:val="28"/>
          <w:szCs w:val="28"/>
          <w:u w:val="single"/>
        </w:rPr>
        <w:lastRenderedPageBreak/>
        <w:t xml:space="preserve">Issue 3: </w:t>
      </w:r>
      <w:r w:rsidR="00CE4C35" w:rsidRPr="001F7E66">
        <w:rPr>
          <w:b/>
          <w:sz w:val="28"/>
          <w:szCs w:val="28"/>
          <w:u w:val="single"/>
        </w:rPr>
        <w:t xml:space="preserve">Mental Health </w:t>
      </w:r>
    </w:p>
    <w:p w14:paraId="78987478" w14:textId="7FD0EBCD" w:rsidR="00CE4C35" w:rsidRPr="001F7E66" w:rsidRDefault="00CE4C35" w:rsidP="00CE4C35">
      <w:pPr>
        <w:spacing w:after="100" w:line="240" w:lineRule="auto"/>
        <w:jc w:val="both"/>
        <w:rPr>
          <w:sz w:val="24"/>
          <w:szCs w:val="24"/>
        </w:rPr>
      </w:pPr>
      <w:r w:rsidRPr="001F7E66">
        <w:rPr>
          <w:sz w:val="24"/>
          <w:szCs w:val="24"/>
        </w:rPr>
        <w:t xml:space="preserve">The mental health status of female offenders and the standard of care offered to them remains a cause of concern to IPRT. </w:t>
      </w:r>
      <w:r w:rsidR="000A3404">
        <w:rPr>
          <w:sz w:val="24"/>
          <w:szCs w:val="24"/>
        </w:rPr>
        <w:t>M</w:t>
      </w:r>
      <w:r w:rsidRPr="001F7E66">
        <w:rPr>
          <w:sz w:val="24"/>
          <w:szCs w:val="24"/>
        </w:rPr>
        <w:t>any female offenders struggle with mental health issues, and often continue to struggle with such issues while imprisoned, and after their release. It is an issue which appears frequently in IPRT’s work with female prisoners:</w:t>
      </w:r>
    </w:p>
    <w:p w14:paraId="0BB90C9E" w14:textId="77777777" w:rsidR="00CE4C35" w:rsidRPr="001F7E66" w:rsidRDefault="00CE4C35" w:rsidP="00CE4C35">
      <w:pPr>
        <w:spacing w:after="0" w:line="240" w:lineRule="auto"/>
        <w:ind w:left="720"/>
        <w:contextualSpacing/>
        <w:jc w:val="both"/>
        <w:rPr>
          <w:rFonts w:cs="Times New Roman"/>
          <w:sz w:val="24"/>
          <w:szCs w:val="24"/>
          <w:lang w:eastAsia="en-IE"/>
        </w:rPr>
      </w:pPr>
      <w:r w:rsidRPr="001F7E66">
        <w:rPr>
          <w:rFonts w:cs="Times New Roman"/>
          <w:i/>
          <w:sz w:val="24"/>
          <w:szCs w:val="24"/>
          <w:lang w:eastAsia="en-IE"/>
        </w:rPr>
        <w:t>‘I’ve seen people go off their head inside prison, they’ve had so much time to think. What they’ve done, what’s happening outside…I’ve seen women that have put ropes around their necks. Travelling women, for the same reasons. Dead. All that time, so much time to think’</w:t>
      </w:r>
      <w:r w:rsidRPr="001F7E66">
        <w:rPr>
          <w:rFonts w:cs="Times New Roman"/>
          <w:sz w:val="24"/>
          <w:szCs w:val="24"/>
          <w:lang w:eastAsia="en-IE"/>
        </w:rPr>
        <w:t>.</w:t>
      </w:r>
      <w:r w:rsidRPr="001F7E66">
        <w:rPr>
          <w:rStyle w:val="FootnoteReference"/>
          <w:rFonts w:cs="Times New Roman"/>
          <w:sz w:val="24"/>
          <w:szCs w:val="24"/>
          <w:lang w:eastAsia="en-IE"/>
        </w:rPr>
        <w:footnoteReference w:id="26"/>
      </w:r>
    </w:p>
    <w:p w14:paraId="5525C7F6" w14:textId="77777777" w:rsidR="00CE4C35" w:rsidRPr="001F7E66" w:rsidRDefault="00CE4C35" w:rsidP="00CE4C35">
      <w:pPr>
        <w:spacing w:after="0" w:line="240" w:lineRule="auto"/>
        <w:ind w:left="720"/>
        <w:contextualSpacing/>
        <w:jc w:val="both"/>
        <w:rPr>
          <w:rFonts w:cs="Times New Roman"/>
          <w:sz w:val="24"/>
          <w:szCs w:val="24"/>
          <w:lang w:eastAsia="en-IE"/>
        </w:rPr>
      </w:pPr>
    </w:p>
    <w:p w14:paraId="25751BE9" w14:textId="77777777" w:rsidR="00CE4C35" w:rsidRPr="001F7E66" w:rsidRDefault="00CE4C35" w:rsidP="00CE4C35">
      <w:pPr>
        <w:spacing w:after="0" w:line="240" w:lineRule="auto"/>
        <w:ind w:left="720"/>
        <w:contextualSpacing/>
        <w:jc w:val="both"/>
        <w:rPr>
          <w:rFonts w:cs="Times New Roman"/>
          <w:i/>
          <w:sz w:val="24"/>
          <w:szCs w:val="24"/>
          <w:lang w:eastAsia="en-IE"/>
        </w:rPr>
      </w:pPr>
      <w:r w:rsidRPr="001F7E66">
        <w:rPr>
          <w:rFonts w:cs="Times New Roman"/>
          <w:i/>
          <w:sz w:val="24"/>
          <w:szCs w:val="24"/>
          <w:lang w:eastAsia="en-IE"/>
        </w:rPr>
        <w:t>‘I was obviously suffering from depression and addiction at the time…I’ve suffered from depression since I was 14. Suicidal and all that.’</w:t>
      </w:r>
      <w:r w:rsidRPr="001F7E66">
        <w:rPr>
          <w:rStyle w:val="FootnoteReference"/>
          <w:rFonts w:cs="Times New Roman"/>
          <w:i/>
          <w:sz w:val="24"/>
          <w:szCs w:val="24"/>
          <w:lang w:eastAsia="en-IE"/>
        </w:rPr>
        <w:footnoteReference w:id="27"/>
      </w:r>
    </w:p>
    <w:p w14:paraId="18BC7092" w14:textId="77777777" w:rsidR="00CE4C35" w:rsidRPr="001F7E66" w:rsidRDefault="00CE4C35" w:rsidP="00CE4C35">
      <w:pPr>
        <w:spacing w:after="0" w:line="240" w:lineRule="auto"/>
        <w:ind w:left="720"/>
        <w:contextualSpacing/>
        <w:jc w:val="both"/>
        <w:rPr>
          <w:rFonts w:cs="Times New Roman"/>
          <w:i/>
          <w:sz w:val="24"/>
          <w:szCs w:val="24"/>
          <w:lang w:eastAsia="en-IE"/>
        </w:rPr>
      </w:pPr>
    </w:p>
    <w:p w14:paraId="103749FD" w14:textId="77777777" w:rsidR="00CE4C35" w:rsidRPr="001F7E66" w:rsidRDefault="00CE4C35" w:rsidP="00CE4C35">
      <w:pPr>
        <w:spacing w:after="0" w:line="240" w:lineRule="auto"/>
        <w:ind w:left="720"/>
        <w:contextualSpacing/>
        <w:jc w:val="both"/>
        <w:rPr>
          <w:rFonts w:cs="Times New Roman"/>
          <w:i/>
          <w:sz w:val="24"/>
          <w:szCs w:val="24"/>
          <w:lang w:eastAsia="en-IE"/>
        </w:rPr>
      </w:pPr>
      <w:r w:rsidRPr="001F7E66">
        <w:rPr>
          <w:rFonts w:cs="Times New Roman"/>
          <w:i/>
          <w:sz w:val="24"/>
          <w:szCs w:val="24"/>
          <w:lang w:eastAsia="en-IE"/>
        </w:rPr>
        <w:t>‘I was sitting in prison crying my eyes out. For every one say I was doing there, I’m doing two. I was thinking about what’s going to happen me when I went home…Life wasn’t going to change when I went home, life was going to get worse. And it did…I don’t think I’ll ever get it out of my heart. It’s me for the rest of me life. People tell you in there, ‘it goes away’. It never goes away. You’re in there at night and you’re crying. And you want to kill yourself.’</w:t>
      </w:r>
      <w:r w:rsidRPr="001F7E66">
        <w:rPr>
          <w:rStyle w:val="FootnoteReference"/>
          <w:rFonts w:cs="Times New Roman"/>
          <w:i/>
          <w:sz w:val="24"/>
          <w:szCs w:val="24"/>
          <w:lang w:eastAsia="en-IE"/>
        </w:rPr>
        <w:footnoteReference w:id="28"/>
      </w:r>
    </w:p>
    <w:p w14:paraId="341E242F" w14:textId="77777777" w:rsidR="00CE4C35" w:rsidRPr="001F7E66" w:rsidRDefault="00CE4C35" w:rsidP="00CE4C35">
      <w:pPr>
        <w:spacing w:after="0" w:line="240" w:lineRule="auto"/>
        <w:ind w:left="720"/>
        <w:contextualSpacing/>
        <w:jc w:val="both"/>
        <w:rPr>
          <w:rFonts w:cs="Times New Roman"/>
          <w:i/>
          <w:sz w:val="24"/>
          <w:szCs w:val="24"/>
          <w:lang w:eastAsia="en-IE"/>
        </w:rPr>
      </w:pPr>
    </w:p>
    <w:p w14:paraId="035EFE89" w14:textId="77777777" w:rsidR="00CE4C35" w:rsidRPr="001F7E66" w:rsidRDefault="00CE4C35" w:rsidP="00CE4C35">
      <w:pPr>
        <w:spacing w:after="100" w:line="240" w:lineRule="auto"/>
        <w:jc w:val="both"/>
        <w:rPr>
          <w:sz w:val="24"/>
          <w:szCs w:val="24"/>
        </w:rPr>
      </w:pPr>
      <w:r w:rsidRPr="001F7E66">
        <w:rPr>
          <w:sz w:val="24"/>
          <w:szCs w:val="24"/>
        </w:rPr>
        <w:t xml:space="preserve">In 2014, the </w:t>
      </w:r>
      <w:proofErr w:type="spellStart"/>
      <w:r w:rsidRPr="001F7E66">
        <w:rPr>
          <w:sz w:val="24"/>
          <w:szCs w:val="24"/>
        </w:rPr>
        <w:t>Dóchas</w:t>
      </w:r>
      <w:proofErr w:type="spellEnd"/>
      <w:r w:rsidRPr="001F7E66">
        <w:rPr>
          <w:sz w:val="24"/>
          <w:szCs w:val="24"/>
        </w:rPr>
        <w:t xml:space="preserve"> Visiting Committee criticised the use of imprisonment where alternative treatment, such as for addiction or mental health issues would have been much more appropriate, given that such treatment simply could not be provided to the same degree in prison:</w:t>
      </w:r>
    </w:p>
    <w:p w14:paraId="6E5790FA" w14:textId="77777777" w:rsidR="00CE4C35" w:rsidRPr="001F7E66" w:rsidRDefault="00CE4C35" w:rsidP="00CE4C35">
      <w:pPr>
        <w:spacing w:after="100" w:line="240" w:lineRule="auto"/>
        <w:ind w:left="720"/>
        <w:jc w:val="both"/>
        <w:rPr>
          <w:i/>
          <w:sz w:val="24"/>
          <w:szCs w:val="24"/>
        </w:rPr>
      </w:pPr>
      <w:r w:rsidRPr="001F7E66">
        <w:rPr>
          <w:i/>
          <w:sz w:val="24"/>
          <w:szCs w:val="24"/>
        </w:rPr>
        <w:t xml:space="preserve">‘These women [requiring treatment] are sent to the </w:t>
      </w:r>
      <w:proofErr w:type="spellStart"/>
      <w:r w:rsidRPr="001F7E66">
        <w:rPr>
          <w:i/>
          <w:sz w:val="24"/>
          <w:szCs w:val="24"/>
        </w:rPr>
        <w:t>Dóchas</w:t>
      </w:r>
      <w:proofErr w:type="spellEnd"/>
      <w:r w:rsidRPr="001F7E66">
        <w:rPr>
          <w:i/>
          <w:sz w:val="24"/>
          <w:szCs w:val="24"/>
        </w:rPr>
        <w:t xml:space="preserve"> Centre from the courts when non-custodial, medical or therapeutic intervention could deal with their needs more appropriately and effectively’.</w:t>
      </w:r>
      <w:r w:rsidRPr="001F7E66">
        <w:rPr>
          <w:rStyle w:val="FootnoteReference"/>
          <w:i/>
          <w:sz w:val="24"/>
          <w:szCs w:val="24"/>
        </w:rPr>
        <w:footnoteReference w:id="29"/>
      </w:r>
      <w:r w:rsidRPr="001F7E66">
        <w:rPr>
          <w:i/>
          <w:sz w:val="24"/>
          <w:szCs w:val="24"/>
        </w:rPr>
        <w:t xml:space="preserve">  </w:t>
      </w:r>
    </w:p>
    <w:p w14:paraId="3061C467" w14:textId="77777777" w:rsidR="00CE4C35" w:rsidRPr="001F7E66" w:rsidRDefault="00CE4C35" w:rsidP="00CE4C35">
      <w:pPr>
        <w:spacing w:after="100" w:line="240" w:lineRule="auto"/>
        <w:jc w:val="both"/>
        <w:rPr>
          <w:sz w:val="24"/>
          <w:szCs w:val="24"/>
        </w:rPr>
      </w:pPr>
      <w:r w:rsidRPr="001F7E66">
        <w:rPr>
          <w:sz w:val="24"/>
          <w:szCs w:val="24"/>
        </w:rPr>
        <w:t xml:space="preserve">This practice is at odds with the 2010 Bangkok Rules, which recommends that prisons </w:t>
      </w:r>
    </w:p>
    <w:p w14:paraId="02FDC2AF" w14:textId="402A532E" w:rsidR="00CE4C35" w:rsidRDefault="00CE4C35" w:rsidP="000A3404">
      <w:pPr>
        <w:spacing w:after="100" w:line="240" w:lineRule="auto"/>
        <w:ind w:left="720"/>
        <w:jc w:val="both"/>
        <w:rPr>
          <w:sz w:val="24"/>
          <w:szCs w:val="24"/>
        </w:rPr>
      </w:pPr>
      <w:r w:rsidRPr="001F7E66">
        <w:rPr>
          <w:i/>
          <w:sz w:val="24"/>
          <w:szCs w:val="24"/>
        </w:rPr>
        <w:t>‘ensure that those with mental health care needs are housed in accommodation which is not restrictive, and at the lowest possible security level, and receive appropriate treatment, rather than being placed in higher security level facilities solely due to their mental health problems’</w:t>
      </w:r>
      <w:r w:rsidRPr="001F7E66">
        <w:rPr>
          <w:sz w:val="24"/>
          <w:szCs w:val="24"/>
        </w:rPr>
        <w:t>.</w:t>
      </w:r>
      <w:r w:rsidRPr="001F7E66">
        <w:rPr>
          <w:rStyle w:val="FootnoteReference"/>
          <w:sz w:val="24"/>
          <w:szCs w:val="24"/>
        </w:rPr>
        <w:footnoteReference w:id="30"/>
      </w:r>
      <w:r w:rsidRPr="001F7E66">
        <w:rPr>
          <w:sz w:val="24"/>
          <w:szCs w:val="24"/>
        </w:rPr>
        <w:t xml:space="preserve">  </w:t>
      </w:r>
    </w:p>
    <w:tbl>
      <w:tblPr>
        <w:tblStyle w:val="TableGrid"/>
        <w:tblW w:w="0" w:type="auto"/>
        <w:tblLook w:val="04A0" w:firstRow="1" w:lastRow="0" w:firstColumn="1" w:lastColumn="0" w:noHBand="0" w:noVBand="1"/>
      </w:tblPr>
      <w:tblGrid>
        <w:gridCol w:w="9016"/>
      </w:tblGrid>
      <w:tr w:rsidR="00CE4C35" w14:paraId="754B0C91" w14:textId="77777777" w:rsidTr="00D572BB">
        <w:tc>
          <w:tcPr>
            <w:tcW w:w="9016" w:type="dxa"/>
          </w:tcPr>
          <w:p w14:paraId="5C2277D5" w14:textId="6D891CFF" w:rsidR="00CE4C35" w:rsidRPr="001F7E66" w:rsidRDefault="00CE4C35" w:rsidP="00D572BB">
            <w:pPr>
              <w:spacing w:after="100"/>
              <w:jc w:val="both"/>
              <w:rPr>
                <w:rFonts w:asciiTheme="minorHAnsi" w:hAnsiTheme="minorHAnsi"/>
                <w:b/>
                <w:sz w:val="24"/>
                <w:szCs w:val="24"/>
              </w:rPr>
            </w:pPr>
            <w:r w:rsidRPr="001F7E66">
              <w:rPr>
                <w:rFonts w:asciiTheme="minorHAnsi" w:hAnsiTheme="minorHAnsi"/>
                <w:b/>
                <w:sz w:val="24"/>
                <w:szCs w:val="24"/>
              </w:rPr>
              <w:t>IPRT recommends:</w:t>
            </w:r>
          </w:p>
          <w:p w14:paraId="315C126E" w14:textId="1657B720" w:rsidR="000A3404" w:rsidRPr="000A3404" w:rsidRDefault="000A3404" w:rsidP="000A3404">
            <w:pPr>
              <w:spacing w:after="100"/>
              <w:jc w:val="both"/>
              <w:rPr>
                <w:rFonts w:asciiTheme="minorHAnsi" w:hAnsiTheme="minorHAnsi"/>
                <w:b/>
                <w:sz w:val="24"/>
                <w:szCs w:val="24"/>
              </w:rPr>
            </w:pPr>
            <w:r>
              <w:rPr>
                <w:rFonts w:asciiTheme="minorHAnsi" w:hAnsiTheme="minorHAnsi"/>
                <w:b/>
                <w:sz w:val="24"/>
                <w:szCs w:val="24"/>
              </w:rPr>
              <w:t>P</w:t>
            </w:r>
            <w:r w:rsidR="00CE4C35" w:rsidRPr="000A3404">
              <w:rPr>
                <w:rFonts w:asciiTheme="minorHAnsi" w:hAnsiTheme="minorHAnsi"/>
                <w:b/>
                <w:sz w:val="24"/>
                <w:szCs w:val="24"/>
              </w:rPr>
              <w:t xml:space="preserve">rovide for the diversion of those who have committed minor offences with mental illness to community inpatient or outpatient facilities by specialist mental health courts. </w:t>
            </w:r>
          </w:p>
          <w:p w14:paraId="343BCD98" w14:textId="32C5DEF5" w:rsidR="00CE4C35" w:rsidRPr="00484CC4" w:rsidRDefault="00CE4C35" w:rsidP="000A3404">
            <w:pPr>
              <w:pStyle w:val="ListParagraph"/>
              <w:spacing w:after="100" w:line="240" w:lineRule="auto"/>
              <w:jc w:val="both"/>
              <w:rPr>
                <w:rFonts w:asciiTheme="minorHAnsi" w:hAnsiTheme="minorHAnsi"/>
                <w:b/>
                <w:sz w:val="24"/>
                <w:szCs w:val="24"/>
              </w:rPr>
            </w:pPr>
          </w:p>
        </w:tc>
      </w:tr>
    </w:tbl>
    <w:p w14:paraId="5B2E1A66" w14:textId="77777777" w:rsidR="00CE4C35" w:rsidRPr="001F7E66" w:rsidRDefault="00CE4C35" w:rsidP="00CE4C35">
      <w:pPr>
        <w:spacing w:after="100" w:line="240" w:lineRule="auto"/>
        <w:jc w:val="both"/>
        <w:rPr>
          <w:sz w:val="24"/>
          <w:szCs w:val="24"/>
        </w:rPr>
      </w:pPr>
    </w:p>
    <w:p w14:paraId="2D7EE5EF" w14:textId="77777777" w:rsidR="003C3995" w:rsidRDefault="003C3995" w:rsidP="00F11956">
      <w:pPr>
        <w:spacing w:after="100" w:line="240" w:lineRule="auto"/>
        <w:jc w:val="both"/>
        <w:rPr>
          <w:b/>
          <w:sz w:val="24"/>
          <w:szCs w:val="24"/>
        </w:rPr>
      </w:pPr>
    </w:p>
    <w:p w14:paraId="420558C7" w14:textId="23525C6F" w:rsidR="00F11956" w:rsidRPr="001F7E66" w:rsidRDefault="003C3995" w:rsidP="00F11956">
      <w:pPr>
        <w:spacing w:after="100" w:line="240" w:lineRule="auto"/>
        <w:jc w:val="both"/>
        <w:rPr>
          <w:b/>
          <w:sz w:val="28"/>
          <w:szCs w:val="28"/>
          <w:u w:val="single"/>
        </w:rPr>
      </w:pPr>
      <w:r>
        <w:rPr>
          <w:b/>
          <w:sz w:val="28"/>
          <w:szCs w:val="28"/>
          <w:u w:val="single"/>
        </w:rPr>
        <w:lastRenderedPageBreak/>
        <w:t>Issue 4</w:t>
      </w:r>
      <w:r w:rsidR="00F11956" w:rsidRPr="001F7E66">
        <w:rPr>
          <w:b/>
          <w:sz w:val="28"/>
          <w:szCs w:val="28"/>
          <w:u w:val="single"/>
        </w:rPr>
        <w:t xml:space="preserve">: </w:t>
      </w:r>
      <w:r>
        <w:rPr>
          <w:b/>
          <w:sz w:val="28"/>
          <w:szCs w:val="28"/>
          <w:u w:val="single"/>
        </w:rPr>
        <w:t>Step Down and</w:t>
      </w:r>
      <w:r w:rsidR="00F11956" w:rsidRPr="001F7E66">
        <w:rPr>
          <w:b/>
          <w:sz w:val="28"/>
          <w:szCs w:val="28"/>
          <w:u w:val="single"/>
        </w:rPr>
        <w:t xml:space="preserve"> Post-Release </w:t>
      </w:r>
    </w:p>
    <w:p w14:paraId="435FE630" w14:textId="0E76DBD8" w:rsidR="00F62426" w:rsidRDefault="00F62426" w:rsidP="00F11956">
      <w:pPr>
        <w:spacing w:after="100" w:line="240" w:lineRule="auto"/>
        <w:jc w:val="both"/>
        <w:rPr>
          <w:sz w:val="24"/>
          <w:szCs w:val="24"/>
        </w:rPr>
      </w:pPr>
      <w:r>
        <w:rPr>
          <w:sz w:val="24"/>
          <w:szCs w:val="24"/>
        </w:rPr>
        <w:t xml:space="preserve">The </w:t>
      </w:r>
      <w:r w:rsidR="007B16E1">
        <w:rPr>
          <w:sz w:val="24"/>
          <w:szCs w:val="24"/>
        </w:rPr>
        <w:t>Irish Prison S</w:t>
      </w:r>
      <w:r>
        <w:rPr>
          <w:sz w:val="24"/>
          <w:szCs w:val="24"/>
        </w:rPr>
        <w:t>ervice C</w:t>
      </w:r>
      <w:r w:rsidR="007B16E1">
        <w:rPr>
          <w:sz w:val="24"/>
          <w:szCs w:val="24"/>
        </w:rPr>
        <w:t>apital Strategy</w:t>
      </w:r>
      <w:r>
        <w:rPr>
          <w:sz w:val="24"/>
          <w:szCs w:val="24"/>
        </w:rPr>
        <w:t xml:space="preserve"> 2016 – 2021 recognises the need for </w:t>
      </w:r>
      <w:r w:rsidRPr="00F62426">
        <w:rPr>
          <w:sz w:val="24"/>
          <w:szCs w:val="24"/>
        </w:rPr>
        <w:t>lower-security facilities for female priso</w:t>
      </w:r>
      <w:r>
        <w:rPr>
          <w:sz w:val="24"/>
          <w:szCs w:val="24"/>
        </w:rPr>
        <w:t xml:space="preserve">ners who are considered of low  </w:t>
      </w:r>
      <w:r w:rsidRPr="00F62426">
        <w:rPr>
          <w:sz w:val="24"/>
          <w:szCs w:val="24"/>
        </w:rPr>
        <w:t xml:space="preserve">risk of re-offending, who may be approaching the end of their sentences and </w:t>
      </w:r>
      <w:r>
        <w:rPr>
          <w:sz w:val="24"/>
          <w:szCs w:val="24"/>
        </w:rPr>
        <w:t xml:space="preserve">require facilities appropriate </w:t>
      </w:r>
      <w:r w:rsidRPr="00F62426">
        <w:rPr>
          <w:sz w:val="24"/>
          <w:szCs w:val="24"/>
        </w:rPr>
        <w:t>for  release  preparation,  or  who  require  specialist  facilities  and  services  beyo</w:t>
      </w:r>
      <w:r>
        <w:rPr>
          <w:sz w:val="24"/>
          <w:szCs w:val="24"/>
        </w:rPr>
        <w:t xml:space="preserve">nd  those  provided  for  the  </w:t>
      </w:r>
      <w:r w:rsidRPr="00F62426">
        <w:rPr>
          <w:sz w:val="24"/>
          <w:szCs w:val="24"/>
        </w:rPr>
        <w:t>wider population of female prisoners</w:t>
      </w:r>
      <w:r>
        <w:rPr>
          <w:sz w:val="24"/>
          <w:szCs w:val="24"/>
        </w:rPr>
        <w:t>.</w:t>
      </w:r>
      <w:r w:rsidR="007B16E1">
        <w:rPr>
          <w:sz w:val="24"/>
          <w:szCs w:val="24"/>
        </w:rPr>
        <w:t xml:space="preserve"> Although this is scheduled for 2016 it does not seem that this has yet been actioned. It has been reported that t</w:t>
      </w:r>
      <w:r w:rsidR="007B16E1" w:rsidRPr="007B16E1">
        <w:rPr>
          <w:sz w:val="24"/>
          <w:szCs w:val="24"/>
        </w:rPr>
        <w:t>he Probation Service have confirmed that We</w:t>
      </w:r>
      <w:r w:rsidR="00BB4EA9">
        <w:rPr>
          <w:sz w:val="24"/>
          <w:szCs w:val="24"/>
        </w:rPr>
        <w:t>stview House on Patrick’s Hill wa</w:t>
      </w:r>
      <w:r w:rsidR="007B16E1" w:rsidRPr="007B16E1">
        <w:rPr>
          <w:sz w:val="24"/>
          <w:szCs w:val="24"/>
        </w:rPr>
        <w:t>s being considered by the Department of Justice and Equality for use as a potential ‘step-down’ facility for f</w:t>
      </w:r>
      <w:r w:rsidR="007B16E1">
        <w:rPr>
          <w:sz w:val="24"/>
          <w:szCs w:val="24"/>
        </w:rPr>
        <w:t>emale ex-prisoners from Munster but there has been widespread local opposition to this development and it appears that the project has been shelved</w:t>
      </w:r>
      <w:r w:rsidR="00BB4EA9">
        <w:rPr>
          <w:rStyle w:val="FootnoteReference"/>
          <w:sz w:val="24"/>
          <w:szCs w:val="24"/>
        </w:rPr>
        <w:footnoteReference w:id="31"/>
      </w:r>
      <w:r w:rsidR="007B16E1">
        <w:rPr>
          <w:sz w:val="24"/>
          <w:szCs w:val="24"/>
        </w:rPr>
        <w:t xml:space="preserve">. </w:t>
      </w:r>
    </w:p>
    <w:p w14:paraId="1CBFCBD9" w14:textId="190BE887" w:rsidR="00F11956" w:rsidRPr="001F7E66" w:rsidRDefault="00F11956" w:rsidP="00F11956">
      <w:pPr>
        <w:spacing w:after="100" w:line="240" w:lineRule="auto"/>
        <w:jc w:val="both"/>
        <w:rPr>
          <w:sz w:val="24"/>
          <w:szCs w:val="24"/>
        </w:rPr>
      </w:pPr>
      <w:r w:rsidRPr="001F7E66">
        <w:rPr>
          <w:sz w:val="24"/>
          <w:szCs w:val="24"/>
        </w:rPr>
        <w:t xml:space="preserve">Ireland lacks a much-needed nationally co-ordinated, gender-specific post-release support programme for women prisoners. The existing post-release support system remains </w:t>
      </w:r>
      <w:r w:rsidRPr="00753749">
        <w:rPr>
          <w:sz w:val="24"/>
          <w:szCs w:val="24"/>
        </w:rPr>
        <w:t>patchy and ad hoc, and is not gender-specific</w:t>
      </w:r>
      <w:r w:rsidRPr="001F7E66">
        <w:rPr>
          <w:sz w:val="24"/>
          <w:szCs w:val="24"/>
        </w:rPr>
        <w:t>. The services are concentrated around urban areas, and thus makes accessing such services difficult for women living rurally.</w:t>
      </w:r>
      <w:r w:rsidRPr="001F7E66">
        <w:rPr>
          <w:rStyle w:val="FootnoteReference"/>
          <w:sz w:val="24"/>
          <w:szCs w:val="24"/>
        </w:rPr>
        <w:footnoteReference w:id="32"/>
      </w:r>
      <w:r w:rsidRPr="001F7E66">
        <w:rPr>
          <w:sz w:val="24"/>
          <w:szCs w:val="24"/>
        </w:rPr>
        <w:t xml:space="preserve"> Given the vulnerability of female prisoners, </w:t>
      </w:r>
      <w:r w:rsidRPr="00753749">
        <w:rPr>
          <w:sz w:val="24"/>
          <w:szCs w:val="24"/>
        </w:rPr>
        <w:t>access to consistent post-release services is vital to prevent lapsing back into a chaotic lifestyle</w:t>
      </w:r>
      <w:r w:rsidRPr="001F7E66">
        <w:rPr>
          <w:sz w:val="24"/>
          <w:szCs w:val="24"/>
        </w:rPr>
        <w:t xml:space="preserve"> of addiction, homelessness, abusive relationships and so forth:</w:t>
      </w:r>
    </w:p>
    <w:p w14:paraId="51432C6B" w14:textId="7BABF921" w:rsidR="00F11956" w:rsidRPr="001F7E66" w:rsidRDefault="00F11956" w:rsidP="00F11956">
      <w:pPr>
        <w:spacing w:after="100" w:line="240" w:lineRule="auto"/>
        <w:ind w:left="720"/>
        <w:jc w:val="both"/>
        <w:rPr>
          <w:i/>
          <w:sz w:val="24"/>
          <w:szCs w:val="24"/>
        </w:rPr>
      </w:pPr>
      <w:r w:rsidRPr="001F7E66">
        <w:rPr>
          <w:i/>
          <w:sz w:val="24"/>
          <w:szCs w:val="24"/>
        </w:rPr>
        <w:t>‘I knew I was going back to that, but I didn’t want to use drugs. So I lasted three weeks without using drugs…And then after that I went completely up in a heap and I broke my TR [Temporary Release] and I was back in and out then for a while…I often cried because I knew what I was going to go back out to. You’re in a horrible place and you’re only going back out. Like people say you can’t wait to be free. Free from prison but you’re not free from the old lifestyle do you know what I mean? There’s no hope for the future like.’</w:t>
      </w:r>
      <w:r w:rsidRPr="001F7E66">
        <w:rPr>
          <w:rStyle w:val="FootnoteReference"/>
          <w:i/>
          <w:sz w:val="24"/>
          <w:szCs w:val="24"/>
        </w:rPr>
        <w:footnoteReference w:id="33"/>
      </w:r>
    </w:p>
    <w:p w14:paraId="6407B9E0" w14:textId="068D0286" w:rsidR="00F11956" w:rsidRPr="001F7E66" w:rsidRDefault="00F11956" w:rsidP="00F11956">
      <w:pPr>
        <w:spacing w:after="100" w:line="240" w:lineRule="auto"/>
        <w:jc w:val="both"/>
        <w:rPr>
          <w:sz w:val="24"/>
          <w:szCs w:val="24"/>
        </w:rPr>
      </w:pPr>
      <w:r w:rsidRPr="001F7E66">
        <w:rPr>
          <w:sz w:val="24"/>
          <w:szCs w:val="24"/>
        </w:rPr>
        <w:t>In its 2010 research into the reintegration of prisoners post-release, IPRT found that women struggled post-release, with many continuing to grapple with addiction issues due to the lack of available services, while one woman identified the lack of support for those without a home upon release:</w:t>
      </w:r>
    </w:p>
    <w:p w14:paraId="6AA67CE8" w14:textId="6BB15F07" w:rsidR="00F11956" w:rsidRPr="001F7E66" w:rsidRDefault="00F11956" w:rsidP="00F11956">
      <w:pPr>
        <w:spacing w:after="100" w:line="240" w:lineRule="auto"/>
        <w:ind w:left="720"/>
        <w:jc w:val="both"/>
        <w:rPr>
          <w:i/>
          <w:sz w:val="24"/>
          <w:szCs w:val="24"/>
        </w:rPr>
      </w:pPr>
      <w:r w:rsidRPr="001F7E66">
        <w:rPr>
          <w:i/>
          <w:sz w:val="24"/>
          <w:szCs w:val="24"/>
        </w:rPr>
        <w:t>‘People that’s homeless getting sent out to the streets. The hostels or one night bed options is not suitable for people coming off, or trying to stay off drugs. If they are on the streets they will end up back to the same lifestyle and back in prison’.</w:t>
      </w:r>
      <w:r w:rsidRPr="001F7E66">
        <w:rPr>
          <w:rStyle w:val="FootnoteReference"/>
          <w:i/>
          <w:sz w:val="24"/>
          <w:szCs w:val="24"/>
        </w:rPr>
        <w:footnoteReference w:id="34"/>
      </w:r>
    </w:p>
    <w:p w14:paraId="4DFF6929" w14:textId="68C609F9" w:rsidR="00135AB6" w:rsidRPr="001F7E66" w:rsidRDefault="00F11956" w:rsidP="00F11956">
      <w:pPr>
        <w:spacing w:after="100" w:line="240" w:lineRule="auto"/>
        <w:jc w:val="both"/>
        <w:rPr>
          <w:sz w:val="24"/>
          <w:szCs w:val="24"/>
        </w:rPr>
      </w:pPr>
      <w:r w:rsidRPr="001F7E66">
        <w:rPr>
          <w:sz w:val="24"/>
          <w:szCs w:val="24"/>
        </w:rPr>
        <w:t xml:space="preserve">The State </w:t>
      </w:r>
      <w:r w:rsidRPr="00753749">
        <w:rPr>
          <w:sz w:val="24"/>
          <w:szCs w:val="24"/>
        </w:rPr>
        <w:t>urgently needs to improve the post-release services offered to female prisoners in order to allow for complete rehabilitation and to aid the transition</w:t>
      </w:r>
      <w:r w:rsidRPr="001F7E66">
        <w:rPr>
          <w:sz w:val="24"/>
          <w:szCs w:val="24"/>
        </w:rPr>
        <w:t xml:space="preserve"> from imprisonment to liberty</w:t>
      </w:r>
      <w:r w:rsidR="00067C8D" w:rsidRPr="001F7E66">
        <w:rPr>
          <w:sz w:val="24"/>
          <w:szCs w:val="24"/>
        </w:rPr>
        <w:t xml:space="preserve"> to bring existing practices in line with the 2010 Bangkok Rules, which requires authorities </w:t>
      </w:r>
      <w:r w:rsidR="00135AB6" w:rsidRPr="001F7E66">
        <w:rPr>
          <w:sz w:val="24"/>
          <w:szCs w:val="24"/>
        </w:rPr>
        <w:t xml:space="preserve">to </w:t>
      </w:r>
      <w:r w:rsidR="00067C8D" w:rsidRPr="001F7E66">
        <w:rPr>
          <w:sz w:val="24"/>
          <w:szCs w:val="24"/>
        </w:rPr>
        <w:t xml:space="preserve">‘utilize options such as home leave, open prisons, halfway houses and community-based programmes and services to the maximum possible extent for women </w:t>
      </w:r>
      <w:r w:rsidR="00067C8D" w:rsidRPr="001F7E66">
        <w:rPr>
          <w:sz w:val="24"/>
          <w:szCs w:val="24"/>
        </w:rPr>
        <w:lastRenderedPageBreak/>
        <w:t>prisoners, to ease their transition from prison to liberty, to reduce stigma and to re-establish their contact with their families at the earliest possible stage’</w:t>
      </w:r>
      <w:r w:rsidRPr="001F7E66">
        <w:rPr>
          <w:sz w:val="24"/>
          <w:szCs w:val="24"/>
        </w:rPr>
        <w:t>.</w:t>
      </w:r>
      <w:r w:rsidR="00067C8D" w:rsidRPr="001F7E66">
        <w:rPr>
          <w:rStyle w:val="FootnoteReference"/>
          <w:sz w:val="24"/>
          <w:szCs w:val="24"/>
        </w:rPr>
        <w:footnoteReference w:id="35"/>
      </w:r>
      <w:r w:rsidRPr="001F7E66">
        <w:rPr>
          <w:sz w:val="24"/>
          <w:szCs w:val="24"/>
        </w:rPr>
        <w:t xml:space="preserve"> </w:t>
      </w:r>
    </w:p>
    <w:p w14:paraId="6AE0B899" w14:textId="04737D02" w:rsidR="00F11956" w:rsidRDefault="00F11956" w:rsidP="00F11956">
      <w:pPr>
        <w:spacing w:after="100" w:line="240" w:lineRule="auto"/>
        <w:jc w:val="both"/>
        <w:rPr>
          <w:sz w:val="24"/>
          <w:szCs w:val="24"/>
        </w:rPr>
      </w:pPr>
      <w:r w:rsidRPr="001F7E66">
        <w:rPr>
          <w:sz w:val="24"/>
          <w:szCs w:val="24"/>
        </w:rPr>
        <w:t>These services need to be nationally co-ordinated, tailored to women’s needs and availab</w:t>
      </w:r>
      <w:r w:rsidR="00075B71" w:rsidRPr="001F7E66">
        <w:rPr>
          <w:sz w:val="24"/>
          <w:szCs w:val="24"/>
        </w:rPr>
        <w:t>le to women living in urban and rural areas</w:t>
      </w:r>
      <w:r w:rsidRPr="001F7E66">
        <w:rPr>
          <w:sz w:val="24"/>
          <w:szCs w:val="24"/>
        </w:rPr>
        <w:t xml:space="preserve">. While the Irish Prison Service’s </w:t>
      </w:r>
      <w:r w:rsidRPr="001F7E66">
        <w:rPr>
          <w:i/>
          <w:sz w:val="24"/>
          <w:szCs w:val="24"/>
        </w:rPr>
        <w:t xml:space="preserve">Strategic Plan 2016-2018 </w:t>
      </w:r>
      <w:r w:rsidRPr="001F7E66">
        <w:rPr>
          <w:sz w:val="24"/>
          <w:szCs w:val="24"/>
        </w:rPr>
        <w:t>states it will ‘introduce step down/open facilities for female offenders…make greater use of structured temporary release…[and] expand and enhance the Community Return and Community Support schemes’, no further detail has been provided</w:t>
      </w:r>
      <w:r w:rsidR="00753749">
        <w:rPr>
          <w:sz w:val="24"/>
          <w:szCs w:val="24"/>
        </w:rPr>
        <w:t xml:space="preserve"> as to how these will be tailored for women</w:t>
      </w:r>
      <w:r w:rsidRPr="001F7E66">
        <w:rPr>
          <w:sz w:val="24"/>
          <w:szCs w:val="24"/>
        </w:rPr>
        <w:t xml:space="preserve">, and no </w:t>
      </w:r>
      <w:r w:rsidR="00753749">
        <w:rPr>
          <w:sz w:val="24"/>
          <w:szCs w:val="24"/>
        </w:rPr>
        <w:t xml:space="preserve">detailed </w:t>
      </w:r>
      <w:r w:rsidRPr="001F7E66">
        <w:rPr>
          <w:sz w:val="24"/>
          <w:szCs w:val="24"/>
        </w:rPr>
        <w:t>time frame for the establishment of these services has been published.</w:t>
      </w:r>
      <w:r w:rsidRPr="001F7E66">
        <w:rPr>
          <w:rStyle w:val="FootnoteReference"/>
          <w:sz w:val="24"/>
          <w:szCs w:val="24"/>
        </w:rPr>
        <w:footnoteReference w:id="36"/>
      </w:r>
    </w:p>
    <w:p w14:paraId="49A799F9" w14:textId="77777777" w:rsidR="00484CC4" w:rsidRDefault="00484CC4" w:rsidP="00F11956">
      <w:pPr>
        <w:spacing w:after="100" w:line="240" w:lineRule="auto"/>
        <w:jc w:val="both"/>
        <w:rPr>
          <w:sz w:val="24"/>
          <w:szCs w:val="24"/>
        </w:rPr>
      </w:pPr>
    </w:p>
    <w:tbl>
      <w:tblPr>
        <w:tblStyle w:val="TableGrid"/>
        <w:tblW w:w="0" w:type="auto"/>
        <w:tblLook w:val="04A0" w:firstRow="1" w:lastRow="0" w:firstColumn="1" w:lastColumn="0" w:noHBand="0" w:noVBand="1"/>
      </w:tblPr>
      <w:tblGrid>
        <w:gridCol w:w="9016"/>
      </w:tblGrid>
      <w:tr w:rsidR="00484CC4" w14:paraId="7DD4BDBD" w14:textId="77777777" w:rsidTr="00484CC4">
        <w:tc>
          <w:tcPr>
            <w:tcW w:w="9016" w:type="dxa"/>
          </w:tcPr>
          <w:p w14:paraId="7A29E1E3" w14:textId="4DA11960" w:rsidR="00484CC4" w:rsidRPr="00484CC4" w:rsidRDefault="00753749" w:rsidP="00484CC4">
            <w:pPr>
              <w:spacing w:after="100"/>
              <w:jc w:val="both"/>
              <w:rPr>
                <w:rFonts w:asciiTheme="minorHAnsi" w:hAnsiTheme="minorHAnsi"/>
                <w:b/>
                <w:sz w:val="24"/>
                <w:szCs w:val="24"/>
              </w:rPr>
            </w:pPr>
            <w:r>
              <w:rPr>
                <w:rFonts w:asciiTheme="minorHAnsi" w:hAnsiTheme="minorHAnsi"/>
                <w:b/>
                <w:sz w:val="24"/>
                <w:szCs w:val="24"/>
              </w:rPr>
              <w:t>IPRT recommends:</w:t>
            </w:r>
          </w:p>
          <w:p w14:paraId="437BC22B" w14:textId="2ABA8FE7" w:rsidR="00484CC4" w:rsidRPr="00753749" w:rsidRDefault="00484CC4" w:rsidP="00753749">
            <w:pPr>
              <w:pStyle w:val="ListParagraph"/>
              <w:numPr>
                <w:ilvl w:val="0"/>
                <w:numId w:val="33"/>
              </w:numPr>
              <w:spacing w:after="100" w:line="240" w:lineRule="auto"/>
              <w:jc w:val="both"/>
              <w:rPr>
                <w:rFonts w:eastAsia="Times New Roman"/>
                <w:b/>
                <w:sz w:val="24"/>
                <w:szCs w:val="24"/>
              </w:rPr>
            </w:pPr>
            <w:r w:rsidRPr="00753749">
              <w:rPr>
                <w:rFonts w:eastAsia="Times New Roman"/>
                <w:b/>
                <w:sz w:val="24"/>
                <w:szCs w:val="24"/>
              </w:rPr>
              <w:t xml:space="preserve">Create a national network of women-only support services for women on community sentences, sheltered housing, step-down facilities, ‘one-stop shops’ and other supports for women leaving prison. Further detail needs to be provided for the plans outlined in the </w:t>
            </w:r>
            <w:r w:rsidRPr="00753749">
              <w:rPr>
                <w:rFonts w:eastAsia="Times New Roman"/>
                <w:b/>
                <w:i/>
                <w:sz w:val="24"/>
                <w:szCs w:val="24"/>
              </w:rPr>
              <w:t xml:space="preserve">Strategic Plan </w:t>
            </w:r>
            <w:r w:rsidRPr="00753749">
              <w:rPr>
                <w:rFonts w:eastAsia="Times New Roman"/>
                <w:b/>
                <w:sz w:val="24"/>
                <w:szCs w:val="24"/>
              </w:rPr>
              <w:t xml:space="preserve">and a timeline for the establishment of these services should be published. </w:t>
            </w:r>
          </w:p>
        </w:tc>
      </w:tr>
    </w:tbl>
    <w:p w14:paraId="24001078" w14:textId="77777777" w:rsidR="00484CC4" w:rsidRDefault="00484CC4" w:rsidP="00F11956">
      <w:pPr>
        <w:spacing w:after="100" w:line="240" w:lineRule="auto"/>
        <w:jc w:val="both"/>
        <w:rPr>
          <w:sz w:val="24"/>
          <w:szCs w:val="24"/>
        </w:rPr>
      </w:pPr>
    </w:p>
    <w:p w14:paraId="3DCAB149" w14:textId="77777777" w:rsidR="00484CC4" w:rsidRPr="001F7E66" w:rsidRDefault="00484CC4" w:rsidP="00F11956">
      <w:pPr>
        <w:spacing w:after="100" w:line="240" w:lineRule="auto"/>
        <w:jc w:val="both"/>
        <w:rPr>
          <w:sz w:val="24"/>
          <w:szCs w:val="24"/>
        </w:rPr>
      </w:pPr>
    </w:p>
    <w:p w14:paraId="67E2770D" w14:textId="77777777" w:rsidR="00067C8D" w:rsidRDefault="00067C8D" w:rsidP="00067C8D">
      <w:pPr>
        <w:spacing w:after="100" w:line="240" w:lineRule="auto"/>
        <w:jc w:val="both"/>
        <w:rPr>
          <w:b/>
          <w:sz w:val="24"/>
          <w:szCs w:val="24"/>
        </w:rPr>
      </w:pPr>
    </w:p>
    <w:p w14:paraId="522F6BE1" w14:textId="77777777" w:rsidR="00484CC4" w:rsidRDefault="00484CC4" w:rsidP="00067C8D">
      <w:pPr>
        <w:spacing w:after="100" w:line="240" w:lineRule="auto"/>
        <w:jc w:val="both"/>
        <w:rPr>
          <w:b/>
          <w:sz w:val="24"/>
          <w:szCs w:val="24"/>
        </w:rPr>
      </w:pPr>
    </w:p>
    <w:p w14:paraId="004A8436" w14:textId="77777777" w:rsidR="00484CC4" w:rsidRDefault="00484CC4" w:rsidP="00067C8D">
      <w:pPr>
        <w:spacing w:after="100" w:line="240" w:lineRule="auto"/>
        <w:jc w:val="both"/>
        <w:rPr>
          <w:b/>
          <w:sz w:val="24"/>
          <w:szCs w:val="24"/>
        </w:rPr>
      </w:pPr>
    </w:p>
    <w:p w14:paraId="45BECD8E" w14:textId="77777777" w:rsidR="00484CC4" w:rsidRDefault="00484CC4" w:rsidP="00067C8D">
      <w:pPr>
        <w:spacing w:after="100" w:line="240" w:lineRule="auto"/>
        <w:jc w:val="both"/>
        <w:rPr>
          <w:b/>
          <w:sz w:val="24"/>
          <w:szCs w:val="24"/>
        </w:rPr>
      </w:pPr>
    </w:p>
    <w:p w14:paraId="43E0946F" w14:textId="77777777" w:rsidR="00484CC4" w:rsidRDefault="00484CC4" w:rsidP="00067C8D">
      <w:pPr>
        <w:spacing w:after="100" w:line="240" w:lineRule="auto"/>
        <w:jc w:val="both"/>
        <w:rPr>
          <w:b/>
          <w:sz w:val="24"/>
          <w:szCs w:val="24"/>
        </w:rPr>
      </w:pPr>
    </w:p>
    <w:p w14:paraId="19AB3201" w14:textId="77777777" w:rsidR="00484CC4" w:rsidRDefault="00484CC4" w:rsidP="00067C8D">
      <w:pPr>
        <w:spacing w:after="100" w:line="240" w:lineRule="auto"/>
        <w:jc w:val="both"/>
        <w:rPr>
          <w:b/>
          <w:sz w:val="24"/>
          <w:szCs w:val="24"/>
        </w:rPr>
      </w:pPr>
    </w:p>
    <w:p w14:paraId="57AA155F" w14:textId="77777777" w:rsidR="00484CC4" w:rsidRDefault="00484CC4" w:rsidP="00067C8D">
      <w:pPr>
        <w:spacing w:after="100" w:line="240" w:lineRule="auto"/>
        <w:jc w:val="both"/>
        <w:rPr>
          <w:b/>
          <w:sz w:val="24"/>
          <w:szCs w:val="24"/>
        </w:rPr>
      </w:pPr>
    </w:p>
    <w:p w14:paraId="3302C284" w14:textId="77777777" w:rsidR="00484CC4" w:rsidRDefault="00484CC4" w:rsidP="00067C8D">
      <w:pPr>
        <w:spacing w:after="100" w:line="240" w:lineRule="auto"/>
        <w:jc w:val="both"/>
        <w:rPr>
          <w:b/>
          <w:sz w:val="24"/>
          <w:szCs w:val="24"/>
        </w:rPr>
      </w:pPr>
    </w:p>
    <w:p w14:paraId="0BED161A" w14:textId="77777777" w:rsidR="00484CC4" w:rsidRDefault="00484CC4" w:rsidP="00067C8D">
      <w:pPr>
        <w:spacing w:after="100" w:line="240" w:lineRule="auto"/>
        <w:jc w:val="both"/>
        <w:rPr>
          <w:b/>
          <w:sz w:val="24"/>
          <w:szCs w:val="24"/>
        </w:rPr>
      </w:pPr>
    </w:p>
    <w:p w14:paraId="21759640" w14:textId="77777777" w:rsidR="00484CC4" w:rsidRDefault="00484CC4" w:rsidP="00067C8D">
      <w:pPr>
        <w:spacing w:after="100" w:line="240" w:lineRule="auto"/>
        <w:jc w:val="both"/>
        <w:rPr>
          <w:b/>
          <w:sz w:val="24"/>
          <w:szCs w:val="24"/>
        </w:rPr>
      </w:pPr>
    </w:p>
    <w:p w14:paraId="3711CE92" w14:textId="77777777" w:rsidR="00484CC4" w:rsidRDefault="00484CC4" w:rsidP="00067C8D">
      <w:pPr>
        <w:spacing w:after="100" w:line="240" w:lineRule="auto"/>
        <w:jc w:val="both"/>
        <w:rPr>
          <w:b/>
          <w:sz w:val="24"/>
          <w:szCs w:val="24"/>
        </w:rPr>
      </w:pPr>
    </w:p>
    <w:p w14:paraId="412E8F28" w14:textId="77777777" w:rsidR="00484CC4" w:rsidRDefault="00484CC4" w:rsidP="00067C8D">
      <w:pPr>
        <w:spacing w:after="100" w:line="240" w:lineRule="auto"/>
        <w:jc w:val="both"/>
        <w:rPr>
          <w:b/>
          <w:sz w:val="24"/>
          <w:szCs w:val="24"/>
        </w:rPr>
      </w:pPr>
    </w:p>
    <w:p w14:paraId="3236BC63" w14:textId="77777777" w:rsidR="00484CC4" w:rsidRDefault="00484CC4" w:rsidP="00067C8D">
      <w:pPr>
        <w:spacing w:after="100" w:line="240" w:lineRule="auto"/>
        <w:jc w:val="both"/>
        <w:rPr>
          <w:b/>
          <w:sz w:val="24"/>
          <w:szCs w:val="24"/>
        </w:rPr>
      </w:pPr>
    </w:p>
    <w:p w14:paraId="78E5E70C" w14:textId="77777777" w:rsidR="00484CC4" w:rsidRDefault="00484CC4" w:rsidP="00067C8D">
      <w:pPr>
        <w:spacing w:after="100" w:line="240" w:lineRule="auto"/>
        <w:jc w:val="both"/>
        <w:rPr>
          <w:b/>
          <w:sz w:val="24"/>
          <w:szCs w:val="24"/>
        </w:rPr>
      </w:pPr>
    </w:p>
    <w:p w14:paraId="26DDA355" w14:textId="77777777" w:rsidR="00484CC4" w:rsidRDefault="00484CC4" w:rsidP="00067C8D">
      <w:pPr>
        <w:spacing w:after="100" w:line="240" w:lineRule="auto"/>
        <w:jc w:val="both"/>
        <w:rPr>
          <w:b/>
          <w:sz w:val="24"/>
          <w:szCs w:val="24"/>
        </w:rPr>
      </w:pPr>
    </w:p>
    <w:p w14:paraId="5668E338" w14:textId="77777777" w:rsidR="00753749" w:rsidRPr="00753749" w:rsidRDefault="00753749" w:rsidP="00067C8D">
      <w:pPr>
        <w:spacing w:after="100" w:line="240" w:lineRule="auto"/>
        <w:jc w:val="both"/>
        <w:rPr>
          <w:sz w:val="24"/>
          <w:szCs w:val="24"/>
        </w:rPr>
      </w:pPr>
    </w:p>
    <w:p w14:paraId="53C42D33" w14:textId="77777777" w:rsidR="00484CC4" w:rsidRPr="00753749" w:rsidRDefault="00484CC4" w:rsidP="00753749">
      <w:pPr>
        <w:spacing w:after="100" w:line="240" w:lineRule="auto"/>
        <w:jc w:val="both"/>
        <w:rPr>
          <w:b/>
          <w:sz w:val="24"/>
          <w:szCs w:val="24"/>
        </w:rPr>
      </w:pPr>
    </w:p>
    <w:p w14:paraId="5321A190" w14:textId="3D49E1D1" w:rsidR="00EF2073" w:rsidRPr="001F7E66" w:rsidRDefault="003C3995" w:rsidP="00EF2073">
      <w:pPr>
        <w:spacing w:after="100" w:line="240" w:lineRule="auto"/>
        <w:jc w:val="both"/>
        <w:rPr>
          <w:b/>
          <w:sz w:val="28"/>
          <w:szCs w:val="28"/>
          <w:u w:val="single"/>
        </w:rPr>
      </w:pPr>
      <w:r>
        <w:rPr>
          <w:b/>
          <w:sz w:val="28"/>
          <w:szCs w:val="28"/>
          <w:u w:val="single"/>
        </w:rPr>
        <w:lastRenderedPageBreak/>
        <w:t>Issue 5</w:t>
      </w:r>
      <w:r w:rsidR="00EF2073" w:rsidRPr="001F7E66">
        <w:rPr>
          <w:b/>
          <w:sz w:val="28"/>
          <w:szCs w:val="28"/>
          <w:u w:val="single"/>
        </w:rPr>
        <w:t xml:space="preserve">: </w:t>
      </w:r>
      <w:r w:rsidR="00753749">
        <w:rPr>
          <w:b/>
          <w:sz w:val="28"/>
          <w:szCs w:val="28"/>
          <w:u w:val="single"/>
        </w:rPr>
        <w:t>Specific Vulnerable Groups</w:t>
      </w:r>
    </w:p>
    <w:p w14:paraId="4E9E67D6" w14:textId="551A9D77" w:rsidR="00EF2073" w:rsidRPr="001F7E66" w:rsidRDefault="00EF2073" w:rsidP="00EF2073">
      <w:pPr>
        <w:spacing w:after="100" w:line="240" w:lineRule="auto"/>
        <w:jc w:val="both"/>
        <w:rPr>
          <w:sz w:val="24"/>
          <w:szCs w:val="24"/>
        </w:rPr>
      </w:pPr>
      <w:r w:rsidRPr="001F7E66">
        <w:rPr>
          <w:sz w:val="24"/>
          <w:szCs w:val="24"/>
        </w:rPr>
        <w:t xml:space="preserve">As highlighted throughout this submission, women in prison in Ireland face significant human rights and equality challenges, but there are </w:t>
      </w:r>
      <w:r w:rsidR="00E8783D">
        <w:rPr>
          <w:sz w:val="24"/>
          <w:szCs w:val="24"/>
        </w:rPr>
        <w:t xml:space="preserve">populations </w:t>
      </w:r>
      <w:r w:rsidRPr="001F7E66">
        <w:rPr>
          <w:sz w:val="24"/>
          <w:szCs w:val="24"/>
        </w:rPr>
        <w:t>within this broader population who face particularly acute human rights and equality challenges in relation to the criminal justice system.</w:t>
      </w:r>
    </w:p>
    <w:p w14:paraId="0C5B5FEB" w14:textId="52359987" w:rsidR="00EF2073" w:rsidRPr="00743994" w:rsidRDefault="00EF2073" w:rsidP="00EF2073">
      <w:pPr>
        <w:pStyle w:val="ListParagraph"/>
        <w:numPr>
          <w:ilvl w:val="0"/>
          <w:numId w:val="26"/>
        </w:numPr>
        <w:spacing w:after="100" w:line="240" w:lineRule="auto"/>
        <w:jc w:val="both"/>
        <w:rPr>
          <w:rFonts w:asciiTheme="minorHAnsi" w:hAnsiTheme="minorHAnsi"/>
          <w:b/>
          <w:i/>
          <w:sz w:val="28"/>
          <w:szCs w:val="28"/>
        </w:rPr>
      </w:pPr>
      <w:r w:rsidRPr="00743994">
        <w:rPr>
          <w:rFonts w:asciiTheme="minorHAnsi" w:hAnsiTheme="minorHAnsi"/>
          <w:b/>
          <w:i/>
          <w:sz w:val="28"/>
          <w:szCs w:val="28"/>
        </w:rPr>
        <w:t>Traveller Women in Prison</w:t>
      </w:r>
    </w:p>
    <w:p w14:paraId="1DEB57BE" w14:textId="1FD9EF6A" w:rsidR="00EF2073" w:rsidRPr="00E8783D" w:rsidRDefault="00EF2073" w:rsidP="00E8783D">
      <w:pPr>
        <w:pStyle w:val="ListParagraph"/>
        <w:spacing w:before="0" w:after="0" w:line="240" w:lineRule="auto"/>
        <w:jc w:val="both"/>
        <w:rPr>
          <w:rFonts w:asciiTheme="minorHAnsi" w:hAnsiTheme="minorHAnsi"/>
          <w:sz w:val="24"/>
          <w:szCs w:val="24"/>
        </w:rPr>
      </w:pPr>
      <w:r w:rsidRPr="001F7E66">
        <w:rPr>
          <w:rFonts w:asciiTheme="minorHAnsi" w:hAnsiTheme="minorHAnsi"/>
          <w:sz w:val="24"/>
          <w:szCs w:val="24"/>
        </w:rPr>
        <w:t xml:space="preserve">Traveller women are amongst the most discriminated groups in Irish society, facing discrimination on multiple levels; as women, as </w:t>
      </w:r>
      <w:proofErr w:type="spellStart"/>
      <w:r w:rsidRPr="001F7E66">
        <w:rPr>
          <w:rFonts w:asciiTheme="minorHAnsi" w:hAnsiTheme="minorHAnsi"/>
          <w:sz w:val="24"/>
          <w:szCs w:val="24"/>
        </w:rPr>
        <w:t>Travellers</w:t>
      </w:r>
      <w:proofErr w:type="spellEnd"/>
      <w:r w:rsidRPr="001F7E66">
        <w:rPr>
          <w:rFonts w:asciiTheme="minorHAnsi" w:hAnsiTheme="minorHAnsi"/>
          <w:sz w:val="24"/>
          <w:szCs w:val="24"/>
        </w:rPr>
        <w:t xml:space="preserve"> and as </w:t>
      </w:r>
      <w:proofErr w:type="spellStart"/>
      <w:r w:rsidRPr="001F7E66">
        <w:rPr>
          <w:rFonts w:asciiTheme="minorHAnsi" w:hAnsiTheme="minorHAnsi"/>
          <w:sz w:val="24"/>
          <w:szCs w:val="24"/>
        </w:rPr>
        <w:t>Traveller</w:t>
      </w:r>
      <w:proofErr w:type="spellEnd"/>
      <w:r w:rsidRPr="001F7E66">
        <w:rPr>
          <w:rFonts w:asciiTheme="minorHAnsi" w:hAnsiTheme="minorHAnsi"/>
          <w:sz w:val="24"/>
          <w:szCs w:val="24"/>
        </w:rPr>
        <w:t xml:space="preserve"> women.</w:t>
      </w:r>
      <w:r w:rsidRPr="001F7E66">
        <w:rPr>
          <w:rStyle w:val="FootnoteReference"/>
          <w:rFonts w:asciiTheme="minorHAnsi" w:hAnsiTheme="minorHAnsi"/>
          <w:sz w:val="24"/>
          <w:szCs w:val="24"/>
        </w:rPr>
        <w:footnoteReference w:id="37"/>
      </w:r>
      <w:r w:rsidRPr="001F7E66">
        <w:rPr>
          <w:rFonts w:asciiTheme="minorHAnsi" w:hAnsiTheme="minorHAnsi"/>
          <w:sz w:val="24"/>
          <w:szCs w:val="24"/>
        </w:rPr>
        <w:t xml:space="preserve"> The All-Ireland Traveller Health Study found that the risk of imprisonment for Traveller women was 18 to 22 times higher than that of the general population.</w:t>
      </w:r>
      <w:r w:rsidRPr="001F7E66">
        <w:rPr>
          <w:rStyle w:val="FootnoteReference"/>
          <w:rFonts w:asciiTheme="minorHAnsi" w:hAnsiTheme="minorHAnsi"/>
          <w:sz w:val="24"/>
          <w:szCs w:val="24"/>
        </w:rPr>
        <w:footnoteReference w:id="38"/>
      </w:r>
      <w:r w:rsidRPr="001F7E66">
        <w:rPr>
          <w:rFonts w:asciiTheme="minorHAnsi" w:hAnsiTheme="minorHAnsi"/>
          <w:sz w:val="24"/>
          <w:szCs w:val="24"/>
        </w:rPr>
        <w:t xml:space="preserve"> Accordingly, there is a </w:t>
      </w:r>
      <w:r w:rsidRPr="00E8783D">
        <w:rPr>
          <w:rFonts w:asciiTheme="minorHAnsi" w:hAnsiTheme="minorHAnsi"/>
          <w:sz w:val="24"/>
          <w:szCs w:val="24"/>
        </w:rPr>
        <w:t xml:space="preserve">grossly disproportionate number of </w:t>
      </w:r>
      <w:proofErr w:type="spellStart"/>
      <w:r w:rsidRPr="00E8783D">
        <w:rPr>
          <w:rFonts w:asciiTheme="minorHAnsi" w:hAnsiTheme="minorHAnsi"/>
          <w:sz w:val="24"/>
          <w:szCs w:val="24"/>
        </w:rPr>
        <w:t>Traveller</w:t>
      </w:r>
      <w:proofErr w:type="spellEnd"/>
      <w:r w:rsidRPr="00E8783D">
        <w:rPr>
          <w:rFonts w:asciiTheme="minorHAnsi" w:hAnsiTheme="minorHAnsi"/>
          <w:sz w:val="24"/>
          <w:szCs w:val="24"/>
        </w:rPr>
        <w:t xml:space="preserve"> women within the Irish prison system;</w:t>
      </w:r>
      <w:r w:rsidRPr="001F7E66">
        <w:rPr>
          <w:rFonts w:asciiTheme="minorHAnsi" w:hAnsiTheme="minorHAnsi"/>
          <w:sz w:val="24"/>
          <w:szCs w:val="24"/>
        </w:rPr>
        <w:t xml:space="preserve"> although </w:t>
      </w:r>
      <w:proofErr w:type="spellStart"/>
      <w:r w:rsidRPr="001F7E66">
        <w:rPr>
          <w:rFonts w:asciiTheme="minorHAnsi" w:hAnsiTheme="minorHAnsi"/>
          <w:sz w:val="24"/>
          <w:szCs w:val="24"/>
        </w:rPr>
        <w:t>Travellers</w:t>
      </w:r>
      <w:proofErr w:type="spellEnd"/>
      <w:r w:rsidRPr="001F7E66">
        <w:rPr>
          <w:rFonts w:asciiTheme="minorHAnsi" w:hAnsiTheme="minorHAnsi"/>
          <w:sz w:val="24"/>
          <w:szCs w:val="24"/>
        </w:rPr>
        <w:t xml:space="preserve"> only account for 0.6% of the overall population in the Republic of Ireland, </w:t>
      </w:r>
      <w:r w:rsidR="00E8783D">
        <w:rPr>
          <w:rFonts w:asciiTheme="minorHAnsi" w:hAnsiTheme="minorHAnsi"/>
          <w:sz w:val="24"/>
          <w:szCs w:val="24"/>
        </w:rPr>
        <w:t xml:space="preserve">it has been estimated that </w:t>
      </w:r>
      <w:r w:rsidRPr="001F7E66">
        <w:rPr>
          <w:rFonts w:asciiTheme="minorHAnsi" w:hAnsiTheme="minorHAnsi"/>
          <w:sz w:val="24"/>
          <w:szCs w:val="24"/>
        </w:rPr>
        <w:t>they constitute 22% of the female prison population.</w:t>
      </w:r>
      <w:r w:rsidRPr="001F7E66">
        <w:rPr>
          <w:rStyle w:val="FootnoteReference"/>
          <w:rFonts w:asciiTheme="minorHAnsi" w:hAnsiTheme="minorHAnsi"/>
          <w:sz w:val="24"/>
          <w:szCs w:val="24"/>
        </w:rPr>
        <w:footnoteReference w:id="39"/>
      </w:r>
      <w:r w:rsidR="00E8783D">
        <w:rPr>
          <w:rFonts w:asciiTheme="minorHAnsi" w:hAnsiTheme="minorHAnsi"/>
          <w:sz w:val="24"/>
          <w:szCs w:val="24"/>
        </w:rPr>
        <w:t xml:space="preserve"> </w:t>
      </w:r>
      <w:r w:rsidRPr="00E8783D">
        <w:rPr>
          <w:rFonts w:asciiTheme="minorHAnsi" w:hAnsiTheme="minorHAnsi"/>
          <w:sz w:val="24"/>
          <w:szCs w:val="24"/>
        </w:rPr>
        <w:t xml:space="preserve">Within prison, </w:t>
      </w:r>
      <w:proofErr w:type="spellStart"/>
      <w:r w:rsidRPr="00E8783D">
        <w:rPr>
          <w:rFonts w:asciiTheme="minorHAnsi" w:hAnsiTheme="minorHAnsi"/>
          <w:sz w:val="24"/>
          <w:szCs w:val="24"/>
        </w:rPr>
        <w:t>Traveller</w:t>
      </w:r>
      <w:proofErr w:type="spellEnd"/>
      <w:r w:rsidRPr="00E8783D">
        <w:rPr>
          <w:rFonts w:asciiTheme="minorHAnsi" w:hAnsiTheme="minorHAnsi"/>
          <w:sz w:val="24"/>
          <w:szCs w:val="24"/>
        </w:rPr>
        <w:t xml:space="preserve"> women continue to face discrimination, social isolation, and often struggle to access education and support services, while upon release they may face stigma and shunning by their family.</w:t>
      </w:r>
      <w:r w:rsidRPr="001F7E66">
        <w:rPr>
          <w:rStyle w:val="FootnoteReference"/>
          <w:rFonts w:asciiTheme="minorHAnsi" w:hAnsiTheme="minorHAnsi"/>
          <w:sz w:val="24"/>
          <w:szCs w:val="24"/>
        </w:rPr>
        <w:footnoteReference w:id="40"/>
      </w:r>
      <w:r w:rsidRPr="00E8783D">
        <w:rPr>
          <w:rFonts w:asciiTheme="minorHAnsi" w:hAnsiTheme="minorHAnsi"/>
          <w:sz w:val="24"/>
          <w:szCs w:val="24"/>
        </w:rPr>
        <w:t xml:space="preserve"> </w:t>
      </w:r>
    </w:p>
    <w:p w14:paraId="69B05E6E" w14:textId="77777777" w:rsidR="00E8783D" w:rsidRPr="001F7E66" w:rsidRDefault="00E8783D" w:rsidP="00E8783D">
      <w:pPr>
        <w:pStyle w:val="ListParagraph"/>
        <w:spacing w:before="0" w:after="0" w:line="240" w:lineRule="auto"/>
        <w:jc w:val="both"/>
        <w:rPr>
          <w:rFonts w:asciiTheme="minorHAnsi" w:hAnsiTheme="minorHAnsi"/>
          <w:sz w:val="24"/>
          <w:szCs w:val="24"/>
        </w:rPr>
      </w:pPr>
    </w:p>
    <w:p w14:paraId="6013CE16" w14:textId="77777777" w:rsidR="00EF2073" w:rsidRPr="001F7E66" w:rsidRDefault="00EF2073" w:rsidP="00EF2073">
      <w:pPr>
        <w:spacing w:after="0" w:line="240" w:lineRule="auto"/>
        <w:ind w:left="1440"/>
        <w:contextualSpacing/>
        <w:jc w:val="both"/>
        <w:rPr>
          <w:rFonts w:cs="Times New Roman"/>
          <w:i/>
          <w:sz w:val="24"/>
          <w:szCs w:val="24"/>
          <w:lang w:eastAsia="en-IE"/>
        </w:rPr>
      </w:pPr>
      <w:r w:rsidRPr="001F7E66">
        <w:rPr>
          <w:rFonts w:cs="Times New Roman"/>
          <w:i/>
          <w:sz w:val="24"/>
          <w:szCs w:val="24"/>
          <w:lang w:eastAsia="en-IE"/>
        </w:rPr>
        <w:t xml:space="preserve">‘The Traveller girls, they’d rather keep to themselves. If they go outside their groups, they’re </w:t>
      </w:r>
      <w:proofErr w:type="spellStart"/>
      <w:r w:rsidRPr="001F7E66">
        <w:rPr>
          <w:rFonts w:cs="Times New Roman"/>
          <w:i/>
          <w:sz w:val="24"/>
          <w:szCs w:val="24"/>
          <w:lang w:eastAsia="en-IE"/>
        </w:rPr>
        <w:t>slagged</w:t>
      </w:r>
      <w:proofErr w:type="spellEnd"/>
      <w:r w:rsidRPr="001F7E66">
        <w:rPr>
          <w:rFonts w:cs="Times New Roman"/>
          <w:i/>
          <w:sz w:val="24"/>
          <w:szCs w:val="24"/>
          <w:lang w:eastAsia="en-IE"/>
        </w:rPr>
        <w:t>…Not to their faces, but at least if you’re with your own you know where you stand…You know what you’re getting.’</w:t>
      </w:r>
      <w:r w:rsidRPr="001F7E66">
        <w:rPr>
          <w:rFonts w:cs="Times New Roman"/>
          <w:i/>
          <w:sz w:val="24"/>
          <w:szCs w:val="24"/>
          <w:vertAlign w:val="superscript"/>
          <w:lang w:eastAsia="en-IE"/>
        </w:rPr>
        <w:footnoteReference w:id="41"/>
      </w:r>
    </w:p>
    <w:p w14:paraId="72D604D2" w14:textId="77777777" w:rsidR="00EF2073" w:rsidRPr="001F7E66" w:rsidRDefault="00EF2073" w:rsidP="00EF2073">
      <w:pPr>
        <w:spacing w:after="0" w:line="240" w:lineRule="auto"/>
        <w:ind w:left="1440"/>
        <w:contextualSpacing/>
        <w:jc w:val="center"/>
        <w:rPr>
          <w:rFonts w:cs="Times New Roman"/>
          <w:i/>
          <w:sz w:val="24"/>
          <w:szCs w:val="24"/>
          <w:lang w:eastAsia="en-IE"/>
        </w:rPr>
      </w:pPr>
    </w:p>
    <w:p w14:paraId="1783DC89" w14:textId="77777777" w:rsidR="00EF2073" w:rsidRPr="001F7E66" w:rsidRDefault="00EF2073" w:rsidP="00EF2073">
      <w:pPr>
        <w:spacing w:after="0" w:line="240" w:lineRule="auto"/>
        <w:ind w:left="1440"/>
        <w:contextualSpacing/>
        <w:jc w:val="both"/>
        <w:rPr>
          <w:rFonts w:cs="Times New Roman"/>
          <w:i/>
          <w:sz w:val="24"/>
          <w:szCs w:val="24"/>
          <w:lang w:eastAsia="en-IE"/>
        </w:rPr>
      </w:pPr>
      <w:r w:rsidRPr="001F7E66">
        <w:rPr>
          <w:rFonts w:cs="Times New Roman"/>
          <w:i/>
          <w:sz w:val="24"/>
          <w:szCs w:val="24"/>
          <w:lang w:eastAsia="en-IE"/>
        </w:rPr>
        <w:t>‘The Traveller women didn’t really get mixed up in, involved in the school and things going on over there, the arts and crafts…They might have felt a bit more comfortable going over, where their own was in one room. But for them to walk into a room with all settled people, even if they know how to read and write. Because I know how that feels. Maybe it was a bit intimidating.’</w:t>
      </w:r>
      <w:r w:rsidRPr="001F7E66">
        <w:rPr>
          <w:rFonts w:cs="Times New Roman"/>
          <w:i/>
          <w:sz w:val="24"/>
          <w:szCs w:val="24"/>
          <w:vertAlign w:val="superscript"/>
          <w:lang w:eastAsia="en-IE"/>
        </w:rPr>
        <w:footnoteReference w:id="42"/>
      </w:r>
    </w:p>
    <w:p w14:paraId="64618DC9" w14:textId="77777777" w:rsidR="00EF2073" w:rsidRPr="001F7E66" w:rsidRDefault="00EF2073" w:rsidP="00EF2073">
      <w:pPr>
        <w:spacing w:after="0" w:line="240" w:lineRule="auto"/>
        <w:ind w:left="1440"/>
        <w:contextualSpacing/>
        <w:jc w:val="both"/>
        <w:rPr>
          <w:rFonts w:cs="Times New Roman"/>
          <w:i/>
          <w:sz w:val="24"/>
          <w:szCs w:val="24"/>
          <w:lang w:eastAsia="en-IE"/>
        </w:rPr>
      </w:pPr>
    </w:p>
    <w:p w14:paraId="0AA4899F" w14:textId="327FC889" w:rsidR="00EF2073" w:rsidRPr="001F7E66" w:rsidRDefault="00EF2073" w:rsidP="00EF2073">
      <w:pPr>
        <w:spacing w:after="0" w:line="240" w:lineRule="auto"/>
        <w:ind w:left="1440"/>
        <w:contextualSpacing/>
        <w:jc w:val="both"/>
        <w:rPr>
          <w:rFonts w:cs="Times New Roman"/>
          <w:i/>
          <w:sz w:val="24"/>
          <w:szCs w:val="24"/>
          <w:lang w:eastAsia="en-IE"/>
        </w:rPr>
      </w:pPr>
      <w:r w:rsidRPr="001F7E66">
        <w:rPr>
          <w:rFonts w:cs="Times New Roman"/>
          <w:i/>
          <w:sz w:val="24"/>
          <w:szCs w:val="24"/>
          <w:lang w:eastAsia="en-IE"/>
        </w:rPr>
        <w:t>‘People do be printing leaflets and expecting people who can’t read to understand them…Like picking up leaflets in jail and reading them. Like I was in jail for 13 month</w:t>
      </w:r>
      <w:r w:rsidRPr="001F7E66">
        <w:rPr>
          <w:rFonts w:cs="Times New Roman"/>
          <w:sz w:val="24"/>
          <w:szCs w:val="24"/>
          <w:lang w:eastAsia="en-IE"/>
        </w:rPr>
        <w:t xml:space="preserve">s. </w:t>
      </w:r>
      <w:r w:rsidRPr="001F7E66">
        <w:rPr>
          <w:rFonts w:cs="Times New Roman"/>
          <w:i/>
          <w:sz w:val="24"/>
          <w:szCs w:val="24"/>
          <w:lang w:eastAsia="en-IE"/>
        </w:rPr>
        <w:t>I</w:t>
      </w:r>
      <w:r w:rsidRPr="001F7E66">
        <w:rPr>
          <w:rFonts w:cs="Times New Roman"/>
          <w:sz w:val="24"/>
          <w:szCs w:val="24"/>
          <w:lang w:eastAsia="en-IE"/>
        </w:rPr>
        <w:t xml:space="preserve"> </w:t>
      </w:r>
      <w:r w:rsidRPr="001F7E66">
        <w:rPr>
          <w:rFonts w:cs="Times New Roman"/>
          <w:i/>
          <w:sz w:val="24"/>
          <w:szCs w:val="24"/>
          <w:lang w:eastAsia="en-IE"/>
        </w:rPr>
        <w:t>never heard about treatment once when I was in jail. It was literally a stone’s throw from where I was to where the place was over there. And obviously I can’t understand what I see.’</w:t>
      </w:r>
      <w:r w:rsidRPr="001F7E66">
        <w:rPr>
          <w:rFonts w:cs="Times New Roman"/>
          <w:i/>
          <w:sz w:val="24"/>
          <w:szCs w:val="24"/>
          <w:vertAlign w:val="superscript"/>
          <w:lang w:eastAsia="en-IE"/>
        </w:rPr>
        <w:footnoteReference w:id="43"/>
      </w:r>
    </w:p>
    <w:p w14:paraId="7FC7DF09" w14:textId="77777777" w:rsidR="00227B55" w:rsidRPr="001F7E66" w:rsidRDefault="00227B55" w:rsidP="00EF2073">
      <w:pPr>
        <w:spacing w:after="0" w:line="240" w:lineRule="auto"/>
        <w:ind w:left="1440"/>
        <w:contextualSpacing/>
        <w:jc w:val="both"/>
        <w:rPr>
          <w:rFonts w:cs="Times New Roman"/>
          <w:i/>
          <w:sz w:val="24"/>
          <w:szCs w:val="24"/>
          <w:lang w:eastAsia="en-IE"/>
        </w:rPr>
      </w:pPr>
    </w:p>
    <w:p w14:paraId="7B691F05" w14:textId="651B917F" w:rsidR="00227B55" w:rsidRDefault="00227B55" w:rsidP="00227B55">
      <w:pPr>
        <w:spacing w:after="0" w:line="240" w:lineRule="auto"/>
        <w:ind w:left="720"/>
        <w:contextualSpacing/>
        <w:jc w:val="both"/>
        <w:rPr>
          <w:rFonts w:cs="Times New Roman"/>
          <w:sz w:val="24"/>
          <w:szCs w:val="24"/>
          <w:lang w:eastAsia="en-IE"/>
        </w:rPr>
      </w:pPr>
      <w:r w:rsidRPr="001F7E66">
        <w:rPr>
          <w:rFonts w:cs="Times New Roman"/>
          <w:sz w:val="24"/>
          <w:szCs w:val="24"/>
          <w:lang w:eastAsia="en-IE"/>
        </w:rPr>
        <w:lastRenderedPageBreak/>
        <w:t xml:space="preserve">The Irish Prison Service has pledged to deliver ‘improved services for all travellers within the system’, and to ‘examine particular issues faced by female travellers in custody’, and this is definitely a positive and welcome step. However, </w:t>
      </w:r>
      <w:r w:rsidR="00E8783D">
        <w:rPr>
          <w:rFonts w:cs="Times New Roman"/>
          <w:sz w:val="24"/>
          <w:szCs w:val="24"/>
          <w:lang w:eastAsia="en-IE"/>
        </w:rPr>
        <w:t>a</w:t>
      </w:r>
      <w:r w:rsidRPr="001F7E66">
        <w:rPr>
          <w:rFonts w:cs="Times New Roman"/>
          <w:sz w:val="24"/>
          <w:szCs w:val="24"/>
          <w:lang w:eastAsia="en-IE"/>
        </w:rPr>
        <w:t xml:space="preserve"> timeline for </w:t>
      </w:r>
      <w:r w:rsidR="00E8783D">
        <w:rPr>
          <w:rFonts w:cs="Times New Roman"/>
          <w:sz w:val="24"/>
          <w:szCs w:val="24"/>
          <w:lang w:eastAsia="en-IE"/>
        </w:rPr>
        <w:t xml:space="preserve">the delivery of these services and further </w:t>
      </w:r>
      <w:r w:rsidRPr="001F7E66">
        <w:rPr>
          <w:rFonts w:cs="Times New Roman"/>
          <w:sz w:val="24"/>
          <w:szCs w:val="24"/>
          <w:lang w:eastAsia="en-IE"/>
        </w:rPr>
        <w:t>detail on what these services will entail</w:t>
      </w:r>
      <w:r w:rsidR="00E8783D">
        <w:rPr>
          <w:rFonts w:cs="Times New Roman"/>
          <w:sz w:val="24"/>
          <w:szCs w:val="24"/>
          <w:lang w:eastAsia="en-IE"/>
        </w:rPr>
        <w:t xml:space="preserve"> would be welcome</w:t>
      </w:r>
      <w:r w:rsidRPr="001F7E66">
        <w:rPr>
          <w:rFonts w:cs="Times New Roman"/>
          <w:sz w:val="24"/>
          <w:szCs w:val="24"/>
          <w:lang w:eastAsia="en-IE"/>
        </w:rPr>
        <w:t>.</w:t>
      </w:r>
      <w:r w:rsidRPr="001F7E66">
        <w:rPr>
          <w:rStyle w:val="FootnoteReference"/>
          <w:rFonts w:cs="Times New Roman"/>
          <w:sz w:val="24"/>
          <w:szCs w:val="24"/>
          <w:lang w:eastAsia="en-IE"/>
        </w:rPr>
        <w:footnoteReference w:id="44"/>
      </w:r>
      <w:r w:rsidRPr="001F7E66">
        <w:rPr>
          <w:rFonts w:cs="Times New Roman"/>
          <w:sz w:val="24"/>
          <w:szCs w:val="24"/>
          <w:lang w:eastAsia="en-IE"/>
        </w:rPr>
        <w:t xml:space="preserve">  </w:t>
      </w:r>
    </w:p>
    <w:p w14:paraId="2806E2AF" w14:textId="77777777" w:rsidR="00484CC4" w:rsidRDefault="00484CC4" w:rsidP="00227B55">
      <w:pPr>
        <w:spacing w:after="0" w:line="240" w:lineRule="auto"/>
        <w:ind w:left="720"/>
        <w:contextualSpacing/>
        <w:jc w:val="both"/>
        <w:rPr>
          <w:rFonts w:cs="Times New Roman"/>
          <w:sz w:val="24"/>
          <w:szCs w:val="24"/>
          <w:lang w:eastAsia="en-IE"/>
        </w:rPr>
      </w:pPr>
    </w:p>
    <w:tbl>
      <w:tblPr>
        <w:tblStyle w:val="TableGrid"/>
        <w:tblW w:w="0" w:type="auto"/>
        <w:tblInd w:w="720" w:type="dxa"/>
        <w:tblLook w:val="04A0" w:firstRow="1" w:lastRow="0" w:firstColumn="1" w:lastColumn="0" w:noHBand="0" w:noVBand="1"/>
      </w:tblPr>
      <w:tblGrid>
        <w:gridCol w:w="8296"/>
      </w:tblGrid>
      <w:tr w:rsidR="00484CC4" w14:paraId="622FFD28" w14:textId="77777777" w:rsidTr="00484CC4">
        <w:tc>
          <w:tcPr>
            <w:tcW w:w="9016" w:type="dxa"/>
          </w:tcPr>
          <w:p w14:paraId="1F1804E3" w14:textId="77777777" w:rsidR="00E8783D" w:rsidRDefault="00484CC4" w:rsidP="00E8783D">
            <w:pPr>
              <w:contextualSpacing/>
              <w:jc w:val="both"/>
              <w:rPr>
                <w:rFonts w:asciiTheme="minorHAnsi" w:hAnsiTheme="minorHAnsi"/>
                <w:b/>
                <w:sz w:val="24"/>
                <w:szCs w:val="24"/>
                <w:lang w:eastAsia="en-IE"/>
              </w:rPr>
            </w:pPr>
            <w:r w:rsidRPr="001F7E66">
              <w:rPr>
                <w:rFonts w:asciiTheme="minorHAnsi" w:hAnsiTheme="minorHAnsi"/>
                <w:b/>
                <w:sz w:val="24"/>
                <w:szCs w:val="24"/>
                <w:lang w:eastAsia="en-IE"/>
              </w:rPr>
              <w:t xml:space="preserve">IPRT recommends </w:t>
            </w:r>
          </w:p>
          <w:p w14:paraId="530E2F0E" w14:textId="0F445EA2" w:rsidR="00484CC4" w:rsidRPr="00484CC4" w:rsidRDefault="00484CC4" w:rsidP="00E8783D">
            <w:pPr>
              <w:contextualSpacing/>
              <w:jc w:val="both"/>
              <w:rPr>
                <w:rFonts w:asciiTheme="minorHAnsi" w:hAnsiTheme="minorHAnsi"/>
                <w:b/>
                <w:sz w:val="24"/>
                <w:szCs w:val="24"/>
                <w:lang w:eastAsia="en-IE"/>
              </w:rPr>
            </w:pPr>
            <w:r w:rsidRPr="001F7E66">
              <w:rPr>
                <w:rFonts w:asciiTheme="minorHAnsi" w:hAnsiTheme="minorHAnsi"/>
                <w:b/>
                <w:sz w:val="24"/>
                <w:szCs w:val="24"/>
                <w:lang w:eastAsia="en-IE"/>
              </w:rPr>
              <w:t xml:space="preserve">Ireland provide clarity regarding the time frame for the delivery of services tailored to female </w:t>
            </w:r>
            <w:proofErr w:type="spellStart"/>
            <w:r w:rsidRPr="001F7E66">
              <w:rPr>
                <w:rFonts w:asciiTheme="minorHAnsi" w:hAnsiTheme="minorHAnsi"/>
                <w:b/>
                <w:sz w:val="24"/>
                <w:szCs w:val="24"/>
                <w:lang w:eastAsia="en-IE"/>
              </w:rPr>
              <w:t>Traveller</w:t>
            </w:r>
            <w:proofErr w:type="spellEnd"/>
            <w:r w:rsidRPr="001F7E66">
              <w:rPr>
                <w:rFonts w:asciiTheme="minorHAnsi" w:hAnsiTheme="minorHAnsi"/>
                <w:b/>
                <w:sz w:val="24"/>
                <w:szCs w:val="24"/>
                <w:lang w:eastAsia="en-IE"/>
              </w:rPr>
              <w:t xml:space="preserve"> prisoners, and for detail on what these services will entail.</w:t>
            </w:r>
          </w:p>
        </w:tc>
      </w:tr>
    </w:tbl>
    <w:p w14:paraId="162E39F3" w14:textId="77777777" w:rsidR="00EE0545" w:rsidRPr="001F7E66" w:rsidRDefault="00EE0545" w:rsidP="00484CC4">
      <w:pPr>
        <w:spacing w:after="0" w:line="240" w:lineRule="auto"/>
        <w:contextualSpacing/>
        <w:jc w:val="both"/>
        <w:rPr>
          <w:rFonts w:cs="Times New Roman"/>
          <w:b/>
          <w:sz w:val="24"/>
          <w:szCs w:val="24"/>
          <w:lang w:eastAsia="en-IE"/>
        </w:rPr>
      </w:pPr>
    </w:p>
    <w:p w14:paraId="31C4483E" w14:textId="6D779B22" w:rsidR="00227B55" w:rsidRPr="00743994" w:rsidRDefault="00227B55" w:rsidP="00227B55">
      <w:pPr>
        <w:pStyle w:val="ListParagraph"/>
        <w:numPr>
          <w:ilvl w:val="0"/>
          <w:numId w:val="26"/>
        </w:numPr>
        <w:spacing w:after="0" w:line="240" w:lineRule="auto"/>
        <w:jc w:val="both"/>
        <w:rPr>
          <w:rFonts w:asciiTheme="minorHAnsi" w:hAnsiTheme="minorHAnsi"/>
          <w:b/>
          <w:i/>
          <w:sz w:val="28"/>
          <w:szCs w:val="28"/>
          <w:lang w:eastAsia="en-IE"/>
        </w:rPr>
      </w:pPr>
      <w:r w:rsidRPr="00743994">
        <w:rPr>
          <w:rFonts w:asciiTheme="minorHAnsi" w:hAnsiTheme="minorHAnsi"/>
          <w:b/>
          <w:i/>
          <w:sz w:val="28"/>
          <w:szCs w:val="28"/>
          <w:lang w:eastAsia="en-IE"/>
        </w:rPr>
        <w:t xml:space="preserve">Transgender Women in Prison </w:t>
      </w:r>
    </w:p>
    <w:p w14:paraId="036C266B" w14:textId="4078970A" w:rsidR="00227B55" w:rsidRPr="00DD30B4" w:rsidRDefault="00227B55" w:rsidP="00DD30B4">
      <w:pPr>
        <w:pStyle w:val="ListParagraph"/>
        <w:spacing w:before="0" w:after="0" w:line="240" w:lineRule="auto"/>
        <w:jc w:val="both"/>
        <w:rPr>
          <w:rFonts w:asciiTheme="minorHAnsi" w:hAnsiTheme="minorHAnsi"/>
          <w:sz w:val="24"/>
          <w:szCs w:val="24"/>
        </w:rPr>
      </w:pPr>
      <w:r w:rsidRPr="001F7E66">
        <w:rPr>
          <w:rFonts w:asciiTheme="minorHAnsi" w:hAnsiTheme="minorHAnsi"/>
          <w:sz w:val="24"/>
          <w:szCs w:val="24"/>
        </w:rPr>
        <w:t>There is a clear need to address the issues of transgender prisoners in Ireland. Although data for Ireland is lacking, international research indicates that transgender people are overrepresented in the prison population, and are more likely to suffer from mental health issues than the general population. They suffer abuse, discrimination, social isolation and struggle to access services and supports whilst in prison.</w:t>
      </w:r>
      <w:r w:rsidRPr="001F7E66">
        <w:rPr>
          <w:rStyle w:val="FootnoteReference"/>
          <w:rFonts w:asciiTheme="minorHAnsi" w:hAnsiTheme="minorHAnsi"/>
          <w:sz w:val="24"/>
          <w:szCs w:val="24"/>
        </w:rPr>
        <w:footnoteReference w:id="45"/>
      </w:r>
      <w:r w:rsidRPr="001F7E66">
        <w:rPr>
          <w:rFonts w:asciiTheme="minorHAnsi" w:hAnsiTheme="minorHAnsi"/>
          <w:sz w:val="24"/>
          <w:szCs w:val="24"/>
        </w:rPr>
        <w:t xml:space="preserve"> </w:t>
      </w:r>
      <w:r w:rsidRPr="00DD30B4">
        <w:rPr>
          <w:rFonts w:asciiTheme="minorHAnsi" w:hAnsiTheme="minorHAnsi"/>
          <w:sz w:val="24"/>
          <w:szCs w:val="24"/>
        </w:rPr>
        <w:t xml:space="preserve">Ireland </w:t>
      </w:r>
      <w:r w:rsidR="00DD30B4" w:rsidRPr="00DD30B4">
        <w:rPr>
          <w:rFonts w:asciiTheme="minorHAnsi" w:hAnsiTheme="minorHAnsi"/>
          <w:sz w:val="24"/>
          <w:szCs w:val="24"/>
        </w:rPr>
        <w:t xml:space="preserve">currently </w:t>
      </w:r>
      <w:r w:rsidRPr="00DD30B4">
        <w:rPr>
          <w:rFonts w:asciiTheme="minorHAnsi" w:hAnsiTheme="minorHAnsi"/>
          <w:sz w:val="24"/>
          <w:szCs w:val="24"/>
        </w:rPr>
        <w:t xml:space="preserve">has no specific policies on the accommodation or placement of transgender prisoners, nor does it have a clear policy on access to gender reassignment treatment while in prison. </w:t>
      </w:r>
    </w:p>
    <w:p w14:paraId="670A94C3" w14:textId="77777777" w:rsidR="00227B55" w:rsidRPr="001F7E66" w:rsidRDefault="00227B55" w:rsidP="00227B55">
      <w:pPr>
        <w:pStyle w:val="ListParagraph"/>
        <w:tabs>
          <w:tab w:val="left" w:pos="3060"/>
        </w:tabs>
        <w:jc w:val="both"/>
        <w:rPr>
          <w:rFonts w:asciiTheme="minorHAnsi" w:hAnsiTheme="minorHAnsi"/>
          <w:sz w:val="24"/>
          <w:szCs w:val="24"/>
        </w:rPr>
      </w:pPr>
      <w:r w:rsidRPr="001F7E66">
        <w:rPr>
          <w:rFonts w:asciiTheme="minorHAnsi" w:hAnsiTheme="minorHAnsi"/>
          <w:sz w:val="24"/>
          <w:szCs w:val="24"/>
        </w:rPr>
        <w:tab/>
      </w:r>
    </w:p>
    <w:p w14:paraId="1BF9D808" w14:textId="77777777" w:rsidR="00227B55" w:rsidRPr="001F7E66" w:rsidRDefault="00227B55" w:rsidP="00DD30B4">
      <w:pPr>
        <w:pStyle w:val="ListParagraph"/>
        <w:spacing w:before="0" w:after="0" w:line="240" w:lineRule="auto"/>
        <w:ind w:left="1440"/>
        <w:jc w:val="both"/>
        <w:rPr>
          <w:rFonts w:asciiTheme="minorHAnsi" w:hAnsiTheme="minorHAnsi"/>
          <w:i/>
          <w:sz w:val="24"/>
          <w:szCs w:val="24"/>
        </w:rPr>
      </w:pPr>
      <w:r w:rsidRPr="001F7E66">
        <w:rPr>
          <w:rFonts w:asciiTheme="minorHAnsi" w:hAnsiTheme="minorHAnsi"/>
          <w:i/>
          <w:sz w:val="24"/>
          <w:szCs w:val="24"/>
        </w:rPr>
        <w:t>‘I was put into a shared cell…of course there was a lot of people in there who knew me, and of course everyone knew that I was effeminate et cetera, so of course the word went around like wildfire and I’d be queuing up to see the governor and there’d be maybe six blokes leaning on a railing and they’re going ‘would you, would you fuck him? What do you think of this bit of fluff? You’d never know it was a fucking fella would you?’ and all this. So I mean hearing all of this right? And this kid [cell-mate] was as paranoid as fuck at having me in the cell…because he’s thinking people are going to think that he’s having sex with me or something, and as a result he was a real bully’</w:t>
      </w:r>
      <w:r w:rsidRPr="001F7E66">
        <w:rPr>
          <w:rStyle w:val="FootnoteReference"/>
          <w:rFonts w:asciiTheme="minorHAnsi" w:hAnsiTheme="minorHAnsi"/>
          <w:i/>
          <w:sz w:val="24"/>
          <w:szCs w:val="24"/>
        </w:rPr>
        <w:footnoteReference w:id="46"/>
      </w:r>
    </w:p>
    <w:p w14:paraId="328D3002" w14:textId="77777777" w:rsidR="00227B55" w:rsidRPr="001F7E66" w:rsidRDefault="00227B55" w:rsidP="00227B55">
      <w:pPr>
        <w:pStyle w:val="ListParagraph"/>
        <w:spacing w:after="0" w:line="240" w:lineRule="auto"/>
        <w:jc w:val="both"/>
        <w:rPr>
          <w:rFonts w:asciiTheme="minorHAnsi" w:hAnsiTheme="minorHAnsi"/>
          <w:sz w:val="24"/>
          <w:szCs w:val="24"/>
          <w:lang w:eastAsia="en-IE"/>
        </w:rPr>
      </w:pPr>
    </w:p>
    <w:p w14:paraId="061F937A" w14:textId="1B7E1016" w:rsidR="00227B55" w:rsidRPr="001F7E66" w:rsidRDefault="00227B55" w:rsidP="00227B55">
      <w:pPr>
        <w:spacing w:after="0" w:line="240" w:lineRule="auto"/>
        <w:ind w:left="720"/>
        <w:contextualSpacing/>
        <w:jc w:val="both"/>
        <w:rPr>
          <w:rFonts w:cs="Times New Roman"/>
          <w:sz w:val="24"/>
          <w:szCs w:val="24"/>
          <w:lang w:eastAsia="en-IE"/>
        </w:rPr>
      </w:pPr>
      <w:r w:rsidRPr="001F7E66">
        <w:rPr>
          <w:rFonts w:cs="Times New Roman"/>
          <w:sz w:val="24"/>
          <w:szCs w:val="24"/>
          <w:lang w:eastAsia="en-IE"/>
        </w:rPr>
        <w:t xml:space="preserve">Ireland needs to </w:t>
      </w:r>
      <w:r w:rsidR="00DD30B4">
        <w:rPr>
          <w:rFonts w:cs="Times New Roman"/>
          <w:sz w:val="24"/>
          <w:szCs w:val="24"/>
          <w:lang w:eastAsia="en-IE"/>
        </w:rPr>
        <w:t>address</w:t>
      </w:r>
      <w:r w:rsidRPr="001F7E66">
        <w:rPr>
          <w:rFonts w:cs="Times New Roman"/>
          <w:sz w:val="24"/>
          <w:szCs w:val="24"/>
          <w:lang w:eastAsia="en-IE"/>
        </w:rPr>
        <w:t xml:space="preserve"> its </w:t>
      </w:r>
      <w:r w:rsidRPr="00DD30B4">
        <w:rPr>
          <w:rFonts w:cs="Times New Roman"/>
          <w:sz w:val="24"/>
          <w:szCs w:val="24"/>
          <w:lang w:eastAsia="en-IE"/>
        </w:rPr>
        <w:t>lack of specific policies on the placement of transgender prisoners,</w:t>
      </w:r>
      <w:r w:rsidRPr="001F7E66">
        <w:rPr>
          <w:rFonts w:cs="Times New Roman"/>
          <w:sz w:val="24"/>
          <w:szCs w:val="24"/>
          <w:lang w:eastAsia="en-IE"/>
        </w:rPr>
        <w:t xml:space="preserve"> particularly in the wake of the </w:t>
      </w:r>
      <w:r w:rsidRPr="001F7E66">
        <w:rPr>
          <w:rFonts w:cs="Times New Roman"/>
          <w:i/>
          <w:sz w:val="24"/>
          <w:szCs w:val="24"/>
          <w:lang w:eastAsia="en-IE"/>
        </w:rPr>
        <w:t>Gender Recognition Act 2015</w:t>
      </w:r>
      <w:r w:rsidRPr="001F7E66">
        <w:rPr>
          <w:rFonts w:cs="Times New Roman"/>
          <w:sz w:val="24"/>
          <w:szCs w:val="24"/>
          <w:lang w:eastAsia="en-IE"/>
        </w:rPr>
        <w:t xml:space="preserve">. While plans to develop a placement policy are mentioned in the IPS’ </w:t>
      </w:r>
      <w:r w:rsidRPr="001F7E66">
        <w:rPr>
          <w:rFonts w:cs="Times New Roman"/>
          <w:i/>
          <w:sz w:val="24"/>
          <w:szCs w:val="24"/>
          <w:lang w:eastAsia="en-IE"/>
        </w:rPr>
        <w:t>Strategic Plan 2016-2018</w:t>
      </w:r>
      <w:r w:rsidRPr="001F7E66">
        <w:rPr>
          <w:rFonts w:cs="Times New Roman"/>
          <w:sz w:val="24"/>
          <w:szCs w:val="24"/>
          <w:lang w:eastAsia="en-IE"/>
        </w:rPr>
        <w:t>, the phrasing is vague, and no time frame for the delivery of the policy is provided.</w:t>
      </w:r>
      <w:r w:rsidRPr="001F7E66">
        <w:rPr>
          <w:rFonts w:cs="Times New Roman"/>
          <w:sz w:val="24"/>
          <w:szCs w:val="24"/>
          <w:vertAlign w:val="superscript"/>
          <w:lang w:eastAsia="en-IE"/>
        </w:rPr>
        <w:footnoteReference w:id="47"/>
      </w:r>
      <w:r w:rsidRPr="001F7E66">
        <w:rPr>
          <w:rFonts w:cs="Times New Roman"/>
          <w:sz w:val="24"/>
          <w:szCs w:val="24"/>
          <w:lang w:eastAsia="en-IE"/>
        </w:rPr>
        <w:t xml:space="preserve"> This placement policy needs to be consultative, allowing for equal access to human rights, while all transgender prisoners should be accommodated in single cells. The safety, dignity and privacy of the prisoner should be paramount.</w:t>
      </w:r>
      <w:r w:rsidRPr="001F7E66">
        <w:rPr>
          <w:rFonts w:cs="Times New Roman"/>
          <w:sz w:val="24"/>
          <w:szCs w:val="24"/>
          <w:vertAlign w:val="superscript"/>
          <w:lang w:eastAsia="en-IE"/>
        </w:rPr>
        <w:footnoteReference w:id="48"/>
      </w:r>
    </w:p>
    <w:p w14:paraId="7D4FB404" w14:textId="77777777" w:rsidR="00661D2C" w:rsidRPr="001F7E66" w:rsidRDefault="00661D2C" w:rsidP="00227B55">
      <w:pPr>
        <w:spacing w:after="0" w:line="240" w:lineRule="auto"/>
        <w:ind w:left="720"/>
        <w:contextualSpacing/>
        <w:jc w:val="both"/>
        <w:rPr>
          <w:rFonts w:cs="Times New Roman"/>
          <w:sz w:val="24"/>
          <w:szCs w:val="24"/>
          <w:lang w:eastAsia="en-IE"/>
        </w:rPr>
      </w:pPr>
    </w:p>
    <w:p w14:paraId="04695084" w14:textId="77777777" w:rsidR="00227B55" w:rsidRPr="001F7E66" w:rsidRDefault="00227B55" w:rsidP="00227B55">
      <w:pPr>
        <w:spacing w:after="0" w:line="240" w:lineRule="auto"/>
        <w:ind w:left="720"/>
        <w:contextualSpacing/>
        <w:jc w:val="both"/>
        <w:rPr>
          <w:rFonts w:cs="Times New Roman"/>
          <w:sz w:val="24"/>
          <w:szCs w:val="24"/>
          <w:lang w:eastAsia="en-IE"/>
        </w:rPr>
      </w:pPr>
      <w:r w:rsidRPr="001F7E66">
        <w:rPr>
          <w:rFonts w:cs="Times New Roman"/>
          <w:sz w:val="24"/>
          <w:szCs w:val="24"/>
          <w:lang w:eastAsia="en-IE"/>
        </w:rPr>
        <w:t xml:space="preserve">There is also a </w:t>
      </w:r>
      <w:r w:rsidRPr="00D74744">
        <w:rPr>
          <w:rFonts w:cs="Times New Roman"/>
          <w:sz w:val="24"/>
          <w:szCs w:val="24"/>
          <w:lang w:eastAsia="en-IE"/>
        </w:rPr>
        <w:t>need for a clear policy on access to gender reassignment treatment</w:t>
      </w:r>
      <w:r w:rsidRPr="001F7E66">
        <w:rPr>
          <w:rFonts w:cs="Times New Roman"/>
          <w:sz w:val="24"/>
          <w:szCs w:val="24"/>
          <w:lang w:eastAsia="en-IE"/>
        </w:rPr>
        <w:t xml:space="preserve"> while in prison. The existing ad hoc practice requires formalisation. The IPS statement in its </w:t>
      </w:r>
      <w:r w:rsidRPr="001F7E66">
        <w:rPr>
          <w:rFonts w:cs="Times New Roman"/>
          <w:i/>
          <w:sz w:val="24"/>
          <w:szCs w:val="24"/>
          <w:lang w:eastAsia="en-IE"/>
        </w:rPr>
        <w:t>Strategic Plan 2016-2016</w:t>
      </w:r>
      <w:r w:rsidRPr="001F7E66">
        <w:rPr>
          <w:rFonts w:cs="Times New Roman"/>
          <w:sz w:val="24"/>
          <w:szCs w:val="24"/>
          <w:lang w:eastAsia="en-IE"/>
        </w:rPr>
        <w:t xml:space="preserve"> regarding transgender prisoners relates only to placement policy; there is no mention of a forthcoming policy on treatments.</w:t>
      </w:r>
      <w:r w:rsidRPr="001F7E66">
        <w:rPr>
          <w:rFonts w:cs="Times New Roman"/>
          <w:sz w:val="24"/>
          <w:szCs w:val="24"/>
          <w:vertAlign w:val="superscript"/>
          <w:lang w:eastAsia="en-IE"/>
        </w:rPr>
        <w:footnoteReference w:id="49"/>
      </w:r>
    </w:p>
    <w:p w14:paraId="75BA043F" w14:textId="77777777" w:rsidR="00661D2C" w:rsidRDefault="00661D2C" w:rsidP="00227B55">
      <w:pPr>
        <w:spacing w:after="0" w:line="240" w:lineRule="auto"/>
        <w:ind w:left="720"/>
        <w:contextualSpacing/>
        <w:jc w:val="both"/>
        <w:rPr>
          <w:rFonts w:cs="Times New Roman"/>
          <w:sz w:val="24"/>
          <w:szCs w:val="24"/>
          <w:lang w:eastAsia="en-IE"/>
        </w:rPr>
      </w:pPr>
    </w:p>
    <w:tbl>
      <w:tblPr>
        <w:tblStyle w:val="TableGrid"/>
        <w:tblW w:w="0" w:type="auto"/>
        <w:tblInd w:w="720" w:type="dxa"/>
        <w:tblLook w:val="04A0" w:firstRow="1" w:lastRow="0" w:firstColumn="1" w:lastColumn="0" w:noHBand="0" w:noVBand="1"/>
      </w:tblPr>
      <w:tblGrid>
        <w:gridCol w:w="8296"/>
      </w:tblGrid>
      <w:tr w:rsidR="00484CC4" w14:paraId="6175D477" w14:textId="77777777" w:rsidTr="00484CC4">
        <w:tc>
          <w:tcPr>
            <w:tcW w:w="9016" w:type="dxa"/>
          </w:tcPr>
          <w:p w14:paraId="6E32376B" w14:textId="1E105F67" w:rsidR="00484CC4" w:rsidRPr="00484CC4" w:rsidRDefault="00484CC4" w:rsidP="00484CC4">
            <w:pPr>
              <w:jc w:val="both"/>
              <w:rPr>
                <w:rFonts w:asciiTheme="minorHAnsi" w:hAnsiTheme="minorHAnsi"/>
                <w:b/>
                <w:sz w:val="24"/>
                <w:szCs w:val="24"/>
                <w:lang w:eastAsia="en-IE"/>
              </w:rPr>
            </w:pPr>
            <w:r w:rsidRPr="00484CC4">
              <w:rPr>
                <w:rFonts w:asciiTheme="minorHAnsi" w:hAnsiTheme="minorHAnsi"/>
                <w:b/>
                <w:sz w:val="24"/>
                <w:szCs w:val="24"/>
                <w:lang w:eastAsia="en-IE"/>
              </w:rPr>
              <w:t xml:space="preserve">IPRT </w:t>
            </w:r>
            <w:r w:rsidR="00D74744">
              <w:rPr>
                <w:rFonts w:asciiTheme="minorHAnsi" w:hAnsiTheme="minorHAnsi"/>
                <w:b/>
                <w:sz w:val="24"/>
                <w:szCs w:val="24"/>
                <w:lang w:eastAsia="en-IE"/>
              </w:rPr>
              <w:t>recommends</w:t>
            </w:r>
            <w:r w:rsidRPr="00484CC4">
              <w:rPr>
                <w:rFonts w:asciiTheme="minorHAnsi" w:hAnsiTheme="minorHAnsi"/>
                <w:b/>
                <w:sz w:val="24"/>
                <w:szCs w:val="24"/>
                <w:lang w:eastAsia="en-IE"/>
              </w:rPr>
              <w:t>:</w:t>
            </w:r>
          </w:p>
          <w:p w14:paraId="018CD1D0" w14:textId="6AF264B6" w:rsidR="00D74744" w:rsidRDefault="00D74744" w:rsidP="00484CC4">
            <w:pPr>
              <w:jc w:val="both"/>
              <w:rPr>
                <w:rFonts w:asciiTheme="minorHAnsi" w:hAnsiTheme="minorHAnsi"/>
                <w:b/>
                <w:sz w:val="24"/>
                <w:szCs w:val="24"/>
                <w:lang w:eastAsia="en-IE"/>
              </w:rPr>
            </w:pPr>
            <w:r>
              <w:rPr>
                <w:rFonts w:asciiTheme="minorHAnsi" w:hAnsiTheme="minorHAnsi"/>
                <w:b/>
                <w:sz w:val="24"/>
                <w:szCs w:val="24"/>
                <w:lang w:eastAsia="en-IE"/>
              </w:rPr>
              <w:t xml:space="preserve">Irish Prison Service </w:t>
            </w:r>
          </w:p>
          <w:p w14:paraId="37E1BEE9" w14:textId="77777777" w:rsidR="00D74744" w:rsidRDefault="00D74744" w:rsidP="00227B55">
            <w:pPr>
              <w:pStyle w:val="ListParagraph"/>
              <w:numPr>
                <w:ilvl w:val="0"/>
                <w:numId w:val="34"/>
              </w:numPr>
              <w:spacing w:after="0" w:line="240" w:lineRule="auto"/>
              <w:jc w:val="both"/>
              <w:rPr>
                <w:rFonts w:eastAsia="Times New Roman"/>
                <w:b/>
                <w:sz w:val="24"/>
                <w:szCs w:val="24"/>
                <w:lang w:eastAsia="en-IE"/>
              </w:rPr>
            </w:pPr>
            <w:r w:rsidRPr="00D74744">
              <w:rPr>
                <w:rFonts w:eastAsia="Times New Roman"/>
                <w:b/>
                <w:sz w:val="24"/>
                <w:szCs w:val="24"/>
                <w:lang w:eastAsia="en-IE"/>
              </w:rPr>
              <w:t>develop specific</w:t>
            </w:r>
            <w:r w:rsidR="00484CC4" w:rsidRPr="00D74744">
              <w:rPr>
                <w:rFonts w:eastAsia="Times New Roman"/>
                <w:b/>
                <w:sz w:val="24"/>
                <w:szCs w:val="24"/>
                <w:lang w:eastAsia="en-IE"/>
              </w:rPr>
              <w:t xml:space="preserve"> policies on the placement of transgender prisoners, which involve the placement of such prisoners in single cell accommodation</w:t>
            </w:r>
          </w:p>
          <w:p w14:paraId="4124063E" w14:textId="77777777" w:rsidR="00484CC4" w:rsidRDefault="00D74744" w:rsidP="00227B55">
            <w:pPr>
              <w:pStyle w:val="ListParagraph"/>
              <w:numPr>
                <w:ilvl w:val="0"/>
                <w:numId w:val="34"/>
              </w:numPr>
              <w:spacing w:after="0" w:line="240" w:lineRule="auto"/>
              <w:jc w:val="both"/>
              <w:rPr>
                <w:rFonts w:eastAsia="Times New Roman"/>
                <w:b/>
                <w:sz w:val="24"/>
                <w:szCs w:val="24"/>
                <w:lang w:eastAsia="en-IE"/>
              </w:rPr>
            </w:pPr>
            <w:r>
              <w:rPr>
                <w:rFonts w:eastAsia="Times New Roman"/>
                <w:b/>
                <w:sz w:val="24"/>
                <w:szCs w:val="24"/>
                <w:lang w:eastAsia="en-IE"/>
              </w:rPr>
              <w:t>d</w:t>
            </w:r>
            <w:r w:rsidR="00484CC4" w:rsidRPr="00D74744">
              <w:rPr>
                <w:rFonts w:eastAsia="Times New Roman"/>
                <w:b/>
                <w:sz w:val="24"/>
                <w:szCs w:val="24"/>
                <w:lang w:eastAsia="en-IE"/>
              </w:rPr>
              <w:t>evelop a clear policy on access to gender reassignment treatment while in prison</w:t>
            </w:r>
            <w:r>
              <w:rPr>
                <w:rFonts w:eastAsia="Times New Roman"/>
                <w:b/>
                <w:sz w:val="24"/>
                <w:szCs w:val="24"/>
                <w:lang w:eastAsia="en-IE"/>
              </w:rPr>
              <w:t xml:space="preserve"> and</w:t>
            </w:r>
          </w:p>
          <w:p w14:paraId="7528B4F4" w14:textId="704039B2" w:rsidR="00D74744" w:rsidRPr="00D74744" w:rsidRDefault="00D74744" w:rsidP="00D74744">
            <w:pPr>
              <w:pStyle w:val="ListParagraph"/>
              <w:numPr>
                <w:ilvl w:val="0"/>
                <w:numId w:val="34"/>
              </w:numPr>
              <w:spacing w:after="0" w:line="240" w:lineRule="auto"/>
              <w:jc w:val="both"/>
              <w:rPr>
                <w:rFonts w:eastAsia="Times New Roman"/>
                <w:b/>
                <w:sz w:val="24"/>
                <w:szCs w:val="24"/>
                <w:lang w:eastAsia="en-IE"/>
              </w:rPr>
            </w:pPr>
            <w:r>
              <w:rPr>
                <w:rFonts w:eastAsia="Times New Roman"/>
                <w:b/>
                <w:sz w:val="24"/>
                <w:szCs w:val="24"/>
                <w:lang w:eastAsia="en-IE"/>
              </w:rPr>
              <w:t>include a</w:t>
            </w:r>
            <w:r w:rsidRPr="00D74744">
              <w:rPr>
                <w:rFonts w:eastAsia="Times New Roman"/>
                <w:b/>
                <w:sz w:val="24"/>
                <w:szCs w:val="24"/>
                <w:lang w:eastAsia="en-IE"/>
              </w:rPr>
              <w:t xml:space="preserve"> time frame for implementation and further details relating to the placement policy referred to in the IPS’ S</w:t>
            </w:r>
            <w:r w:rsidRPr="00D74744">
              <w:rPr>
                <w:rFonts w:eastAsia="Times New Roman"/>
                <w:b/>
                <w:i/>
                <w:sz w:val="24"/>
                <w:szCs w:val="24"/>
                <w:lang w:eastAsia="en-IE"/>
              </w:rPr>
              <w:t>trategic Plan</w:t>
            </w:r>
            <w:r w:rsidRPr="00D74744">
              <w:rPr>
                <w:rFonts w:eastAsia="Times New Roman"/>
                <w:b/>
                <w:sz w:val="24"/>
                <w:szCs w:val="24"/>
                <w:lang w:eastAsia="en-IE"/>
              </w:rPr>
              <w:t xml:space="preserve">. </w:t>
            </w:r>
          </w:p>
          <w:p w14:paraId="5E544206" w14:textId="4066C1C2" w:rsidR="00D74744" w:rsidRPr="00D74744" w:rsidRDefault="00D74744" w:rsidP="00D74744">
            <w:pPr>
              <w:pStyle w:val="ListParagraph"/>
              <w:spacing w:after="0" w:line="240" w:lineRule="auto"/>
              <w:jc w:val="both"/>
              <w:rPr>
                <w:rFonts w:eastAsia="Times New Roman"/>
                <w:b/>
                <w:sz w:val="24"/>
                <w:szCs w:val="24"/>
                <w:lang w:eastAsia="en-IE"/>
              </w:rPr>
            </w:pPr>
          </w:p>
        </w:tc>
      </w:tr>
    </w:tbl>
    <w:p w14:paraId="3FDA5348" w14:textId="77777777" w:rsidR="00EE0545" w:rsidRPr="00484CC4" w:rsidRDefault="00EE0545" w:rsidP="00484CC4">
      <w:pPr>
        <w:spacing w:after="0" w:line="240" w:lineRule="auto"/>
        <w:jc w:val="both"/>
        <w:rPr>
          <w:b/>
          <w:sz w:val="24"/>
          <w:szCs w:val="24"/>
          <w:lang w:eastAsia="en-IE"/>
        </w:rPr>
      </w:pPr>
    </w:p>
    <w:p w14:paraId="280DF0F1" w14:textId="56EA5A0D" w:rsidR="00227B55" w:rsidRPr="00743994" w:rsidRDefault="00227B55" w:rsidP="00227B55">
      <w:pPr>
        <w:pStyle w:val="ListParagraph"/>
        <w:numPr>
          <w:ilvl w:val="0"/>
          <w:numId w:val="26"/>
        </w:numPr>
        <w:spacing w:after="0" w:line="240" w:lineRule="auto"/>
        <w:jc w:val="both"/>
        <w:rPr>
          <w:rFonts w:asciiTheme="minorHAnsi" w:hAnsiTheme="minorHAnsi"/>
          <w:b/>
          <w:i/>
          <w:sz w:val="28"/>
          <w:szCs w:val="28"/>
          <w:lang w:eastAsia="en-IE"/>
        </w:rPr>
      </w:pPr>
      <w:r w:rsidRPr="00743994">
        <w:rPr>
          <w:rFonts w:asciiTheme="minorHAnsi" w:hAnsiTheme="minorHAnsi"/>
          <w:b/>
          <w:i/>
          <w:sz w:val="28"/>
          <w:szCs w:val="28"/>
          <w:lang w:eastAsia="en-IE"/>
        </w:rPr>
        <w:t>Pregnant Women in Prison</w:t>
      </w:r>
    </w:p>
    <w:p w14:paraId="44C65620" w14:textId="16686179" w:rsidR="00743994" w:rsidRPr="00743994" w:rsidRDefault="00743994" w:rsidP="00743994">
      <w:pPr>
        <w:ind w:left="720"/>
        <w:jc w:val="both"/>
        <w:rPr>
          <w:sz w:val="24"/>
          <w:szCs w:val="24"/>
        </w:rPr>
      </w:pPr>
      <w:r w:rsidRPr="00743994">
        <w:rPr>
          <w:sz w:val="24"/>
          <w:szCs w:val="24"/>
        </w:rPr>
        <w:t>In those highly exceptional cases where expectant mothers require imprisonment, the lack of a Mother and Baby Unit at Limerick Prison</w:t>
      </w:r>
      <w:r>
        <w:rPr>
          <w:sz w:val="24"/>
          <w:szCs w:val="24"/>
        </w:rPr>
        <w:t xml:space="preserve"> presents a</w:t>
      </w:r>
      <w:r w:rsidRPr="00743994">
        <w:rPr>
          <w:sz w:val="24"/>
          <w:szCs w:val="24"/>
        </w:rPr>
        <w:t xml:space="preserve"> </w:t>
      </w:r>
      <w:r>
        <w:rPr>
          <w:sz w:val="24"/>
          <w:szCs w:val="24"/>
        </w:rPr>
        <w:t>concern</w:t>
      </w:r>
      <w:r w:rsidRPr="00743994">
        <w:rPr>
          <w:sz w:val="24"/>
          <w:szCs w:val="24"/>
        </w:rPr>
        <w:t xml:space="preserve">, potentially moving </w:t>
      </w:r>
      <w:r>
        <w:rPr>
          <w:sz w:val="24"/>
          <w:szCs w:val="24"/>
        </w:rPr>
        <w:t>a woman</w:t>
      </w:r>
      <w:r w:rsidRPr="00743994">
        <w:rPr>
          <w:sz w:val="24"/>
          <w:szCs w:val="24"/>
        </w:rPr>
        <w:t xml:space="preserve"> further from her family and friends, and thus making family visitation more arduous and costly at a highly vulnerable and stressful point in her life. The lack of a Mother and Baby Unit outside of the capital places Ireland, again, in contravention of the 2010 Bangkok Rules, which recommends that </w:t>
      </w:r>
      <w:r w:rsidRPr="00743994">
        <w:rPr>
          <w:i/>
          <w:sz w:val="24"/>
          <w:szCs w:val="24"/>
        </w:rPr>
        <w:t xml:space="preserve">‘Women prisoners should be allocated, to the extent possible, to prisons close to their home or place of social rehabilitation, taking account of their caretaking responsibilities, as well as the individual woman’s preference and the availability of appropriate </w:t>
      </w:r>
      <w:proofErr w:type="spellStart"/>
      <w:r w:rsidRPr="00743994">
        <w:rPr>
          <w:i/>
          <w:sz w:val="24"/>
          <w:szCs w:val="24"/>
        </w:rPr>
        <w:t>programmes</w:t>
      </w:r>
      <w:proofErr w:type="spellEnd"/>
      <w:r w:rsidRPr="00743994">
        <w:rPr>
          <w:i/>
          <w:sz w:val="24"/>
          <w:szCs w:val="24"/>
        </w:rPr>
        <w:t xml:space="preserve"> and services’</w:t>
      </w:r>
      <w:r w:rsidRPr="00743994">
        <w:rPr>
          <w:sz w:val="24"/>
          <w:szCs w:val="24"/>
        </w:rPr>
        <w:t>.</w:t>
      </w:r>
      <w:r w:rsidRPr="001F7E66">
        <w:rPr>
          <w:rStyle w:val="FootnoteReference"/>
          <w:sz w:val="24"/>
          <w:szCs w:val="24"/>
        </w:rPr>
        <w:footnoteReference w:id="50"/>
      </w:r>
      <w:r>
        <w:rPr>
          <w:sz w:val="24"/>
          <w:szCs w:val="24"/>
        </w:rPr>
        <w:t xml:space="preserve"> </w:t>
      </w:r>
      <w:r w:rsidRPr="00743994">
        <w:rPr>
          <w:sz w:val="24"/>
          <w:szCs w:val="24"/>
          <w:lang w:eastAsia="en-IE"/>
        </w:rPr>
        <w:t>In the context of women in detention, IPRT interprets Article 12 of the CEDAW Convention as meaning that imprisoned mothers should have appropriate access to specific measures and provision in order to aid them and their children, before, during and after pregnancy. Such measures include the facilitation a strong, positive relationship between imprisoned mothers and their children.</w:t>
      </w:r>
      <w:r w:rsidRPr="001F7E66">
        <w:rPr>
          <w:vertAlign w:val="superscript"/>
          <w:lang w:eastAsia="en-IE"/>
        </w:rPr>
        <w:footnoteReference w:id="51"/>
      </w:r>
    </w:p>
    <w:p w14:paraId="4AAD6051" w14:textId="77777777" w:rsidR="00EE0545" w:rsidRDefault="00EE0545" w:rsidP="00743994">
      <w:pPr>
        <w:pStyle w:val="ListParagraph"/>
        <w:spacing w:before="0" w:after="0" w:line="240" w:lineRule="auto"/>
        <w:jc w:val="both"/>
        <w:rPr>
          <w:rFonts w:asciiTheme="minorHAnsi" w:hAnsiTheme="minorHAnsi"/>
          <w:sz w:val="24"/>
          <w:szCs w:val="24"/>
        </w:rPr>
      </w:pPr>
      <w:r w:rsidRPr="001F7E66">
        <w:rPr>
          <w:rFonts w:asciiTheme="minorHAnsi" w:hAnsiTheme="minorHAnsi"/>
          <w:sz w:val="24"/>
          <w:szCs w:val="24"/>
        </w:rPr>
        <w:t>IPRT supports the position of IHREC that the current legal position in Ireland in relation to abortion not only puts in place barriers which impede a woman’s right to bodily autonomy, but also that it has a disproportionate impact on women from lower socio-economic backgrounds and in particular women whose ability to travel may be circumscribed due to their status, including their status as female prisoners.</w:t>
      </w:r>
      <w:r w:rsidRPr="001F7E66">
        <w:rPr>
          <w:rStyle w:val="FootnoteReference"/>
          <w:rFonts w:asciiTheme="minorHAnsi" w:hAnsiTheme="minorHAnsi"/>
          <w:sz w:val="24"/>
          <w:szCs w:val="24"/>
        </w:rPr>
        <w:footnoteReference w:id="52"/>
      </w:r>
      <w:r w:rsidRPr="001F7E66">
        <w:rPr>
          <w:rFonts w:asciiTheme="minorHAnsi" w:hAnsiTheme="minorHAnsi"/>
          <w:sz w:val="24"/>
          <w:szCs w:val="24"/>
        </w:rPr>
        <w:t xml:space="preserve"> </w:t>
      </w:r>
    </w:p>
    <w:p w14:paraId="033DCF61" w14:textId="76B5F141" w:rsidR="00484CC4" w:rsidRDefault="00743994" w:rsidP="00743994">
      <w:pPr>
        <w:pStyle w:val="ListParagraph"/>
        <w:spacing w:before="0" w:after="0" w:line="240" w:lineRule="auto"/>
        <w:jc w:val="both"/>
        <w:rPr>
          <w:rFonts w:asciiTheme="minorHAnsi" w:hAnsiTheme="minorHAnsi"/>
          <w:sz w:val="24"/>
          <w:szCs w:val="24"/>
          <w:lang w:val="en-IE" w:eastAsia="en-IE"/>
        </w:rPr>
      </w:pPr>
      <w:r w:rsidRPr="00743994">
        <w:rPr>
          <w:rFonts w:asciiTheme="minorHAnsi" w:hAnsiTheme="minorHAnsi"/>
          <w:sz w:val="24"/>
          <w:szCs w:val="24"/>
          <w:lang w:val="en-IE" w:eastAsia="en-IE"/>
        </w:rPr>
        <w:lastRenderedPageBreak/>
        <w:t>In the context of IPRT’s position as a human rights based organisation, our experience and knowledge of the position of women in detention as well as current and developing international human rights law relating to sexual and reproductive health, IPRT endorses the recommendations of IHREC, the UN Human Rights Committee and the UN Committee on Economic, Social and Cultural Rights that the State take all the steps necessary, including a referendum on abortion, to revise its law to bring it in line with international human rights standards.</w:t>
      </w:r>
      <w:r w:rsidRPr="00743994">
        <w:rPr>
          <w:vertAlign w:val="superscript"/>
          <w:lang w:val="en-IE" w:eastAsia="en-IE"/>
        </w:rPr>
        <w:footnoteReference w:id="53"/>
      </w:r>
    </w:p>
    <w:p w14:paraId="3CF532FD" w14:textId="77777777" w:rsidR="00743994" w:rsidRPr="00743994" w:rsidRDefault="00743994" w:rsidP="00743994">
      <w:pPr>
        <w:pStyle w:val="ListParagraph"/>
        <w:spacing w:before="0" w:after="0" w:line="240" w:lineRule="auto"/>
        <w:jc w:val="both"/>
        <w:rPr>
          <w:rFonts w:asciiTheme="minorHAnsi" w:hAnsiTheme="minorHAnsi"/>
          <w:sz w:val="24"/>
          <w:szCs w:val="24"/>
        </w:rPr>
      </w:pPr>
    </w:p>
    <w:tbl>
      <w:tblPr>
        <w:tblStyle w:val="TableGrid"/>
        <w:tblW w:w="0" w:type="auto"/>
        <w:tblInd w:w="720" w:type="dxa"/>
        <w:tblLook w:val="04A0" w:firstRow="1" w:lastRow="0" w:firstColumn="1" w:lastColumn="0" w:noHBand="0" w:noVBand="1"/>
      </w:tblPr>
      <w:tblGrid>
        <w:gridCol w:w="8296"/>
      </w:tblGrid>
      <w:tr w:rsidR="00484CC4" w14:paraId="5472041E" w14:textId="77777777" w:rsidTr="00484CC4">
        <w:tc>
          <w:tcPr>
            <w:tcW w:w="9016" w:type="dxa"/>
          </w:tcPr>
          <w:p w14:paraId="42410BE4" w14:textId="10AAF08D" w:rsidR="00484CC4" w:rsidRDefault="00743994" w:rsidP="00484CC4">
            <w:pPr>
              <w:jc w:val="both"/>
              <w:rPr>
                <w:rFonts w:asciiTheme="minorHAnsi" w:hAnsiTheme="minorHAnsi"/>
                <w:sz w:val="24"/>
                <w:szCs w:val="24"/>
                <w:lang w:val="en-IE" w:eastAsia="en-IE"/>
              </w:rPr>
            </w:pPr>
            <w:r>
              <w:rPr>
                <w:rFonts w:asciiTheme="minorHAnsi" w:hAnsiTheme="minorHAnsi"/>
                <w:b/>
                <w:sz w:val="24"/>
                <w:szCs w:val="24"/>
                <w:lang w:val="en-IE" w:eastAsia="en-IE"/>
              </w:rPr>
              <w:t>IPRT recommends</w:t>
            </w:r>
            <w:r w:rsidR="00484CC4" w:rsidRPr="00484CC4">
              <w:rPr>
                <w:rFonts w:asciiTheme="minorHAnsi" w:hAnsiTheme="minorHAnsi"/>
                <w:b/>
                <w:sz w:val="24"/>
                <w:szCs w:val="24"/>
                <w:lang w:val="en-IE" w:eastAsia="en-IE"/>
              </w:rPr>
              <w:t xml:space="preserve"> that the State take all the steps necessary, including a referendum on abortion, to revise its law to bring it in line with international human rights standards</w:t>
            </w:r>
            <w:r w:rsidR="00484CC4" w:rsidRPr="00484CC4">
              <w:rPr>
                <w:rFonts w:asciiTheme="minorHAnsi" w:hAnsiTheme="minorHAnsi"/>
                <w:sz w:val="24"/>
                <w:szCs w:val="24"/>
                <w:lang w:val="en-IE" w:eastAsia="en-IE"/>
              </w:rPr>
              <w:t>.</w:t>
            </w:r>
            <w:r w:rsidR="00484CC4" w:rsidRPr="001F7E66">
              <w:rPr>
                <w:vertAlign w:val="superscript"/>
                <w:lang w:val="en-IE" w:eastAsia="en-IE"/>
              </w:rPr>
              <w:footnoteReference w:id="54"/>
            </w:r>
          </w:p>
        </w:tc>
      </w:tr>
    </w:tbl>
    <w:p w14:paraId="35B9D230" w14:textId="77777777" w:rsidR="00EE0545" w:rsidRPr="00484CC4" w:rsidRDefault="00EE0545" w:rsidP="00484CC4">
      <w:pPr>
        <w:spacing w:after="0" w:line="240" w:lineRule="auto"/>
        <w:jc w:val="both"/>
        <w:rPr>
          <w:sz w:val="24"/>
          <w:szCs w:val="24"/>
          <w:lang w:eastAsia="en-IE"/>
        </w:rPr>
      </w:pPr>
    </w:p>
    <w:p w14:paraId="34C15DE5" w14:textId="135F8F9A" w:rsidR="00EE0545" w:rsidRPr="00743994" w:rsidRDefault="00EE0545" w:rsidP="00EE0545">
      <w:pPr>
        <w:pStyle w:val="ListParagraph"/>
        <w:numPr>
          <w:ilvl w:val="0"/>
          <w:numId w:val="26"/>
        </w:numPr>
        <w:spacing w:after="0" w:line="240" w:lineRule="auto"/>
        <w:jc w:val="both"/>
        <w:rPr>
          <w:rFonts w:asciiTheme="minorHAnsi" w:hAnsiTheme="minorHAnsi"/>
          <w:b/>
          <w:i/>
          <w:sz w:val="28"/>
          <w:szCs w:val="28"/>
          <w:lang w:eastAsia="en-IE"/>
        </w:rPr>
      </w:pPr>
      <w:r w:rsidRPr="00743994">
        <w:rPr>
          <w:rFonts w:asciiTheme="minorHAnsi" w:hAnsiTheme="minorHAnsi"/>
          <w:b/>
          <w:i/>
          <w:sz w:val="28"/>
          <w:szCs w:val="28"/>
          <w:lang w:eastAsia="en-IE"/>
        </w:rPr>
        <w:t>Mothers in Prison</w:t>
      </w:r>
    </w:p>
    <w:p w14:paraId="25B1EECD" w14:textId="77777777" w:rsidR="00743994" w:rsidRDefault="00EE0545" w:rsidP="00743994">
      <w:pPr>
        <w:pStyle w:val="ListParagraph"/>
        <w:spacing w:before="0" w:after="0" w:line="240" w:lineRule="auto"/>
        <w:jc w:val="both"/>
        <w:rPr>
          <w:rFonts w:asciiTheme="minorHAnsi" w:hAnsiTheme="minorHAnsi"/>
          <w:sz w:val="24"/>
          <w:szCs w:val="24"/>
        </w:rPr>
      </w:pPr>
      <w:r w:rsidRPr="001F7E66">
        <w:rPr>
          <w:rFonts w:asciiTheme="minorHAnsi" w:hAnsiTheme="minorHAnsi"/>
          <w:sz w:val="24"/>
          <w:szCs w:val="24"/>
        </w:rPr>
        <w:t xml:space="preserve">Although there are no definitive public statistics available on the numbers of women in Irish prisons who are mothers, a 2002 study in the UK found that 66% of women in prisons were mothers, and that 33% were the sole </w:t>
      </w:r>
      <w:proofErr w:type="spellStart"/>
      <w:r w:rsidRPr="001F7E66">
        <w:rPr>
          <w:rFonts w:asciiTheme="minorHAnsi" w:hAnsiTheme="minorHAnsi"/>
          <w:sz w:val="24"/>
          <w:szCs w:val="24"/>
        </w:rPr>
        <w:t>carers</w:t>
      </w:r>
      <w:proofErr w:type="spellEnd"/>
      <w:r w:rsidRPr="001F7E66">
        <w:rPr>
          <w:rFonts w:asciiTheme="minorHAnsi" w:hAnsiTheme="minorHAnsi"/>
          <w:sz w:val="24"/>
          <w:szCs w:val="24"/>
        </w:rPr>
        <w:t xml:space="preserve"> of children prior to imprisonment.</w:t>
      </w:r>
      <w:r w:rsidRPr="001F7E66">
        <w:rPr>
          <w:rStyle w:val="FootnoteReference"/>
          <w:rFonts w:asciiTheme="minorHAnsi" w:hAnsiTheme="minorHAnsi"/>
          <w:sz w:val="24"/>
          <w:szCs w:val="24"/>
        </w:rPr>
        <w:footnoteReference w:id="55"/>
      </w:r>
      <w:r w:rsidRPr="001F7E66">
        <w:rPr>
          <w:rFonts w:asciiTheme="minorHAnsi" w:hAnsiTheme="minorHAnsi"/>
          <w:sz w:val="24"/>
          <w:szCs w:val="24"/>
        </w:rPr>
        <w:t xml:space="preserve"> Consequently, only 5% of children were cared for in their home after their mother was sent to prison, with the majority being placed in the hands of care services.</w:t>
      </w:r>
      <w:r w:rsidRPr="001F7E66">
        <w:rPr>
          <w:rStyle w:val="FootnoteReference"/>
          <w:rFonts w:asciiTheme="minorHAnsi" w:hAnsiTheme="minorHAnsi"/>
          <w:sz w:val="24"/>
          <w:szCs w:val="24"/>
        </w:rPr>
        <w:footnoteReference w:id="56"/>
      </w:r>
      <w:r w:rsidRPr="001F7E66">
        <w:rPr>
          <w:rFonts w:asciiTheme="minorHAnsi" w:hAnsiTheme="minorHAnsi"/>
          <w:sz w:val="24"/>
          <w:szCs w:val="24"/>
        </w:rPr>
        <w:t xml:space="preserve"> In comparison, most children continue to be cared for in their home when their father is imprisoned.</w:t>
      </w:r>
      <w:r w:rsidRPr="001F7E66">
        <w:rPr>
          <w:rStyle w:val="FootnoteReference"/>
          <w:rFonts w:asciiTheme="minorHAnsi" w:hAnsiTheme="minorHAnsi"/>
          <w:sz w:val="24"/>
          <w:szCs w:val="24"/>
        </w:rPr>
        <w:footnoteReference w:id="57"/>
      </w:r>
      <w:r w:rsidRPr="001F7E66">
        <w:rPr>
          <w:rFonts w:asciiTheme="minorHAnsi" w:hAnsiTheme="minorHAnsi"/>
          <w:sz w:val="24"/>
          <w:szCs w:val="24"/>
        </w:rPr>
        <w:t xml:space="preserve"> It is clear from qualitative research that the maintenance of familial relationships is very important to female prisoners, who face the loss of their caring role once imprisoned, resulting in anxiety about their children and their standards of care, as well as anxiety about their children experiencing a prison environment when visiting.</w:t>
      </w:r>
      <w:r w:rsidRPr="001F7E66">
        <w:rPr>
          <w:rStyle w:val="FootnoteReference"/>
          <w:rFonts w:asciiTheme="minorHAnsi" w:hAnsiTheme="minorHAnsi"/>
          <w:sz w:val="24"/>
          <w:szCs w:val="24"/>
        </w:rPr>
        <w:footnoteReference w:id="58"/>
      </w:r>
      <w:r w:rsidRPr="001F7E66">
        <w:rPr>
          <w:rFonts w:asciiTheme="minorHAnsi" w:hAnsiTheme="minorHAnsi"/>
          <w:sz w:val="24"/>
          <w:szCs w:val="24"/>
        </w:rPr>
        <w:t xml:space="preserve"> </w:t>
      </w:r>
    </w:p>
    <w:p w14:paraId="7528C317" w14:textId="77777777" w:rsidR="00743994" w:rsidRDefault="00743994" w:rsidP="00743994">
      <w:pPr>
        <w:pStyle w:val="ListParagraph"/>
        <w:spacing w:before="0" w:after="0" w:line="240" w:lineRule="auto"/>
        <w:jc w:val="both"/>
        <w:rPr>
          <w:rFonts w:asciiTheme="minorHAnsi" w:hAnsiTheme="minorHAnsi"/>
          <w:sz w:val="24"/>
          <w:szCs w:val="24"/>
        </w:rPr>
      </w:pPr>
    </w:p>
    <w:p w14:paraId="2E2906BE" w14:textId="6A2E5DDC" w:rsidR="00EE0545" w:rsidRPr="001F7E66" w:rsidRDefault="00743994" w:rsidP="00743994">
      <w:pPr>
        <w:pStyle w:val="ListParagraph"/>
        <w:spacing w:before="0" w:after="0" w:line="240" w:lineRule="auto"/>
        <w:jc w:val="both"/>
        <w:rPr>
          <w:rFonts w:asciiTheme="minorHAnsi" w:hAnsiTheme="minorHAnsi"/>
          <w:sz w:val="24"/>
          <w:szCs w:val="24"/>
        </w:rPr>
      </w:pPr>
      <w:r>
        <w:rPr>
          <w:rFonts w:asciiTheme="minorHAnsi" w:hAnsiTheme="minorHAnsi"/>
          <w:sz w:val="24"/>
          <w:szCs w:val="24"/>
        </w:rPr>
        <w:t>IPRT’s r</w:t>
      </w:r>
      <w:r w:rsidR="00EE0545" w:rsidRPr="001F7E66">
        <w:rPr>
          <w:rFonts w:asciiTheme="minorHAnsi" w:hAnsiTheme="minorHAnsi"/>
          <w:sz w:val="24"/>
          <w:szCs w:val="24"/>
        </w:rPr>
        <w:t>esearch in Ireland has illustrated that separation of a child from their imprisoned parent can have a significant impact on the child concerned, including a breakdown of the parental-child relationship.</w:t>
      </w:r>
      <w:r w:rsidR="00EE0545" w:rsidRPr="001F7E66">
        <w:rPr>
          <w:rStyle w:val="FootnoteReference"/>
          <w:rFonts w:asciiTheme="minorHAnsi" w:hAnsiTheme="minorHAnsi"/>
          <w:sz w:val="24"/>
          <w:szCs w:val="24"/>
        </w:rPr>
        <w:footnoteReference w:id="59"/>
      </w:r>
      <w:r w:rsidR="00EE0545" w:rsidRPr="001F7E66">
        <w:rPr>
          <w:rFonts w:asciiTheme="minorHAnsi" w:hAnsiTheme="minorHAnsi"/>
          <w:sz w:val="24"/>
          <w:szCs w:val="24"/>
        </w:rPr>
        <w:t xml:space="preserve"> It should of course be noted that in </w:t>
      </w:r>
      <w:r w:rsidR="00EE0545" w:rsidRPr="001F7E66">
        <w:rPr>
          <w:rFonts w:asciiTheme="minorHAnsi" w:hAnsiTheme="minorHAnsi"/>
          <w:sz w:val="24"/>
          <w:szCs w:val="24"/>
        </w:rPr>
        <w:lastRenderedPageBreak/>
        <w:t xml:space="preserve">relation to the development of children, the CEDAW Convention states that </w:t>
      </w:r>
      <w:r w:rsidR="00EE0545" w:rsidRPr="001F7E66">
        <w:rPr>
          <w:rFonts w:asciiTheme="minorHAnsi" w:hAnsiTheme="minorHAnsi"/>
          <w:i/>
          <w:sz w:val="24"/>
          <w:szCs w:val="24"/>
        </w:rPr>
        <w:t>‘the interest of the children is the primordial consideration in all cases’</w:t>
      </w:r>
      <w:r w:rsidR="00EE0545" w:rsidRPr="001F7E66">
        <w:rPr>
          <w:rFonts w:asciiTheme="minorHAnsi" w:hAnsiTheme="minorHAnsi"/>
          <w:sz w:val="24"/>
          <w:szCs w:val="24"/>
        </w:rPr>
        <w:t>.</w:t>
      </w:r>
      <w:r w:rsidR="00EE0545" w:rsidRPr="001F7E66">
        <w:rPr>
          <w:rStyle w:val="FootnoteReference"/>
          <w:rFonts w:asciiTheme="minorHAnsi" w:hAnsiTheme="minorHAnsi"/>
          <w:sz w:val="24"/>
          <w:szCs w:val="24"/>
        </w:rPr>
        <w:footnoteReference w:id="60"/>
      </w:r>
    </w:p>
    <w:p w14:paraId="76F46609" w14:textId="77777777" w:rsidR="00EE0545" w:rsidRPr="001F7E66" w:rsidRDefault="00EE0545" w:rsidP="00EE0545">
      <w:pPr>
        <w:pStyle w:val="ListParagraph"/>
        <w:jc w:val="center"/>
        <w:rPr>
          <w:rFonts w:asciiTheme="minorHAnsi" w:hAnsiTheme="minorHAnsi"/>
          <w:sz w:val="24"/>
          <w:szCs w:val="24"/>
        </w:rPr>
      </w:pPr>
    </w:p>
    <w:p w14:paraId="57085167" w14:textId="77777777" w:rsidR="006825E1" w:rsidRDefault="00EE0545" w:rsidP="00743994">
      <w:pPr>
        <w:pStyle w:val="ListParagraph"/>
        <w:spacing w:before="0" w:after="0" w:line="240" w:lineRule="auto"/>
        <w:jc w:val="both"/>
        <w:rPr>
          <w:rFonts w:asciiTheme="minorHAnsi" w:hAnsiTheme="minorHAnsi"/>
          <w:sz w:val="24"/>
          <w:szCs w:val="24"/>
        </w:rPr>
      </w:pPr>
      <w:r w:rsidRPr="001F7E66">
        <w:rPr>
          <w:rFonts w:asciiTheme="minorHAnsi" w:hAnsiTheme="minorHAnsi"/>
          <w:sz w:val="24"/>
          <w:szCs w:val="24"/>
        </w:rPr>
        <w:t xml:space="preserve">The </w:t>
      </w:r>
      <w:r w:rsidRPr="00743994">
        <w:rPr>
          <w:rFonts w:asciiTheme="minorHAnsi" w:hAnsiTheme="minorHAnsi"/>
          <w:sz w:val="24"/>
          <w:szCs w:val="24"/>
        </w:rPr>
        <w:t>decision to detain mothers with infants</w:t>
      </w:r>
      <w:r w:rsidRPr="001F7E66">
        <w:rPr>
          <w:rFonts w:asciiTheme="minorHAnsi" w:hAnsiTheme="minorHAnsi"/>
          <w:sz w:val="24"/>
          <w:szCs w:val="24"/>
        </w:rPr>
        <w:t xml:space="preserve"> has been repeatedly and roundly </w:t>
      </w:r>
      <w:proofErr w:type="spellStart"/>
      <w:r w:rsidRPr="001F7E66">
        <w:rPr>
          <w:rFonts w:asciiTheme="minorHAnsi" w:hAnsiTheme="minorHAnsi"/>
          <w:sz w:val="24"/>
          <w:szCs w:val="24"/>
        </w:rPr>
        <w:t>criticised</w:t>
      </w:r>
      <w:proofErr w:type="spellEnd"/>
      <w:r w:rsidRPr="001F7E66">
        <w:rPr>
          <w:rFonts w:asciiTheme="minorHAnsi" w:hAnsiTheme="minorHAnsi"/>
          <w:sz w:val="24"/>
          <w:szCs w:val="24"/>
        </w:rPr>
        <w:t xml:space="preserve"> by the </w:t>
      </w:r>
      <w:proofErr w:type="spellStart"/>
      <w:r w:rsidRPr="001F7E66">
        <w:rPr>
          <w:rFonts w:asciiTheme="minorHAnsi" w:hAnsiTheme="minorHAnsi"/>
          <w:sz w:val="24"/>
          <w:szCs w:val="24"/>
        </w:rPr>
        <w:t>Dóchas</w:t>
      </w:r>
      <w:proofErr w:type="spellEnd"/>
      <w:r w:rsidRPr="001F7E66">
        <w:rPr>
          <w:rFonts w:asciiTheme="minorHAnsi" w:hAnsiTheme="minorHAnsi"/>
          <w:sz w:val="24"/>
          <w:szCs w:val="24"/>
        </w:rPr>
        <w:t xml:space="preserve"> Visiting Committee, which in 2015 remained </w:t>
      </w:r>
      <w:r w:rsidRPr="001F7E66">
        <w:rPr>
          <w:rFonts w:asciiTheme="minorHAnsi" w:hAnsiTheme="minorHAnsi"/>
          <w:i/>
          <w:sz w:val="24"/>
          <w:szCs w:val="24"/>
        </w:rPr>
        <w:t>‘very concerned’</w:t>
      </w:r>
      <w:r w:rsidRPr="001F7E66">
        <w:rPr>
          <w:rFonts w:asciiTheme="minorHAnsi" w:hAnsiTheme="minorHAnsi"/>
          <w:sz w:val="24"/>
          <w:szCs w:val="24"/>
        </w:rPr>
        <w:t xml:space="preserve"> about the practice, following 2014’s statement that, </w:t>
      </w:r>
    </w:p>
    <w:p w14:paraId="0E8ADF08" w14:textId="77777777" w:rsidR="006825E1" w:rsidRDefault="006825E1" w:rsidP="00743994">
      <w:pPr>
        <w:pStyle w:val="ListParagraph"/>
        <w:spacing w:before="0" w:after="0" w:line="240" w:lineRule="auto"/>
        <w:jc w:val="both"/>
        <w:rPr>
          <w:rFonts w:asciiTheme="minorHAnsi" w:hAnsiTheme="minorHAnsi"/>
          <w:sz w:val="24"/>
          <w:szCs w:val="24"/>
        </w:rPr>
      </w:pPr>
    </w:p>
    <w:p w14:paraId="4345D436" w14:textId="77777777" w:rsidR="006825E1" w:rsidRDefault="00EE0545" w:rsidP="006825E1">
      <w:pPr>
        <w:pStyle w:val="ListParagraph"/>
        <w:spacing w:before="0" w:after="0" w:line="240" w:lineRule="auto"/>
        <w:ind w:left="1440"/>
        <w:jc w:val="both"/>
        <w:rPr>
          <w:rFonts w:asciiTheme="minorHAnsi" w:hAnsiTheme="minorHAnsi"/>
          <w:sz w:val="24"/>
          <w:szCs w:val="24"/>
        </w:rPr>
      </w:pPr>
      <w:r w:rsidRPr="001F7E66">
        <w:rPr>
          <w:rFonts w:asciiTheme="minorHAnsi" w:hAnsiTheme="minorHAnsi"/>
          <w:i/>
          <w:sz w:val="24"/>
          <w:szCs w:val="24"/>
        </w:rPr>
        <w:t>‘We would like to reiterate that the imprisonment of mothers and young babies is never ideal and that non-custodial and community sentences should be developed more progressively. Separation of small children from their mother through imprisonment is a very high and lasting price to pay’</w:t>
      </w:r>
      <w:r w:rsidRPr="001F7E66">
        <w:rPr>
          <w:rFonts w:asciiTheme="minorHAnsi" w:hAnsiTheme="minorHAnsi"/>
          <w:sz w:val="24"/>
          <w:szCs w:val="24"/>
        </w:rPr>
        <w:t>.</w:t>
      </w:r>
      <w:r w:rsidRPr="001F7E66">
        <w:rPr>
          <w:rStyle w:val="FootnoteReference"/>
          <w:rFonts w:asciiTheme="minorHAnsi" w:hAnsiTheme="minorHAnsi"/>
          <w:sz w:val="24"/>
          <w:szCs w:val="24"/>
        </w:rPr>
        <w:footnoteReference w:id="61"/>
      </w:r>
      <w:r w:rsidRPr="001F7E66">
        <w:rPr>
          <w:rFonts w:asciiTheme="minorHAnsi" w:hAnsiTheme="minorHAnsi"/>
          <w:sz w:val="24"/>
          <w:szCs w:val="24"/>
        </w:rPr>
        <w:t xml:space="preserve"> </w:t>
      </w:r>
    </w:p>
    <w:p w14:paraId="7D998F67" w14:textId="77777777" w:rsidR="006825E1" w:rsidRDefault="006825E1" w:rsidP="006825E1">
      <w:pPr>
        <w:spacing w:after="0" w:line="240" w:lineRule="auto"/>
        <w:ind w:left="720"/>
        <w:jc w:val="both"/>
        <w:rPr>
          <w:sz w:val="24"/>
          <w:szCs w:val="24"/>
        </w:rPr>
      </w:pPr>
    </w:p>
    <w:p w14:paraId="18FB5E42" w14:textId="003A4BFF" w:rsidR="00EE0545" w:rsidRPr="006825E1" w:rsidRDefault="00EE0545" w:rsidP="006825E1">
      <w:pPr>
        <w:spacing w:after="0" w:line="240" w:lineRule="auto"/>
        <w:ind w:left="720"/>
        <w:jc w:val="both"/>
        <w:rPr>
          <w:sz w:val="24"/>
          <w:szCs w:val="24"/>
        </w:rPr>
      </w:pPr>
      <w:r w:rsidRPr="006825E1">
        <w:rPr>
          <w:sz w:val="24"/>
          <w:szCs w:val="24"/>
        </w:rPr>
        <w:t xml:space="preserve">The lack of alternatives to custodial sentences places Ireland at odds with the 2010 Bangkok Rules, which states that </w:t>
      </w:r>
      <w:r w:rsidRPr="006825E1">
        <w:rPr>
          <w:i/>
          <w:sz w:val="24"/>
          <w:szCs w:val="24"/>
        </w:rPr>
        <w:t>‘when sentencing or deciding on pre-trial measures for a pregnant woman or a child’s sole or primary caretaker, non-custodial measures should be preferred where possible and appropriate, with custodial sentences being considered when the offence is serious or violent’</w:t>
      </w:r>
      <w:r w:rsidRPr="006825E1">
        <w:rPr>
          <w:sz w:val="24"/>
          <w:szCs w:val="24"/>
        </w:rPr>
        <w:t>.</w:t>
      </w:r>
      <w:r w:rsidRPr="001F7E66">
        <w:rPr>
          <w:rStyle w:val="FootnoteReference"/>
          <w:sz w:val="24"/>
          <w:szCs w:val="24"/>
        </w:rPr>
        <w:footnoteReference w:id="62"/>
      </w:r>
      <w:r w:rsidRPr="006825E1">
        <w:rPr>
          <w:sz w:val="24"/>
          <w:szCs w:val="24"/>
        </w:rPr>
        <w:t xml:space="preserve"> The imprisonment of mothers rather than allowing them to serve the</w:t>
      </w:r>
      <w:r w:rsidR="006825E1">
        <w:rPr>
          <w:sz w:val="24"/>
          <w:szCs w:val="24"/>
        </w:rPr>
        <w:t xml:space="preserve">ir sentence in their community </w:t>
      </w:r>
      <w:r w:rsidRPr="006825E1">
        <w:rPr>
          <w:sz w:val="24"/>
          <w:szCs w:val="24"/>
        </w:rPr>
        <w:t xml:space="preserve">presents a missed opportunity for the Irish system, and one </w:t>
      </w:r>
      <w:r w:rsidR="006825E1">
        <w:rPr>
          <w:sz w:val="24"/>
          <w:szCs w:val="24"/>
        </w:rPr>
        <w:t>which is detrimental to mothers and</w:t>
      </w:r>
      <w:r w:rsidRPr="006825E1">
        <w:rPr>
          <w:sz w:val="24"/>
          <w:szCs w:val="24"/>
        </w:rPr>
        <w:t xml:space="preserve"> their children.</w:t>
      </w:r>
      <w:r w:rsidRPr="001F7E66">
        <w:rPr>
          <w:rStyle w:val="FootnoteReference"/>
          <w:sz w:val="24"/>
          <w:szCs w:val="24"/>
        </w:rPr>
        <w:footnoteReference w:id="63"/>
      </w:r>
      <w:r w:rsidRPr="006825E1">
        <w:rPr>
          <w:sz w:val="24"/>
          <w:szCs w:val="24"/>
        </w:rPr>
        <w:t xml:space="preserve"> </w:t>
      </w:r>
    </w:p>
    <w:p w14:paraId="7E5BCE88" w14:textId="77777777" w:rsidR="00EE0545" w:rsidRPr="001F7E66" w:rsidRDefault="00EE0545" w:rsidP="00EE0545">
      <w:pPr>
        <w:pStyle w:val="ListParagraph"/>
        <w:jc w:val="both"/>
        <w:rPr>
          <w:rFonts w:asciiTheme="minorHAnsi" w:hAnsiTheme="minorHAnsi"/>
          <w:sz w:val="24"/>
          <w:szCs w:val="24"/>
        </w:rPr>
      </w:pPr>
    </w:p>
    <w:p w14:paraId="230F3F54" w14:textId="0C205A98" w:rsidR="00EE0545" w:rsidRPr="001F7E66" w:rsidRDefault="00EE0545" w:rsidP="006825E1">
      <w:pPr>
        <w:pStyle w:val="ListParagraph"/>
        <w:spacing w:before="0" w:after="0" w:line="240" w:lineRule="auto"/>
        <w:jc w:val="both"/>
        <w:rPr>
          <w:rFonts w:asciiTheme="minorHAnsi" w:hAnsiTheme="minorHAnsi"/>
          <w:sz w:val="24"/>
          <w:szCs w:val="24"/>
        </w:rPr>
      </w:pPr>
      <w:r w:rsidRPr="001F7E66">
        <w:rPr>
          <w:rFonts w:asciiTheme="minorHAnsi" w:hAnsiTheme="minorHAnsi"/>
          <w:sz w:val="24"/>
          <w:szCs w:val="24"/>
        </w:rPr>
        <w:t xml:space="preserve">Given the fact that there are only two women’s prisons in Ireland, visitation can be geographically arduous and costly for many families, further </w:t>
      </w:r>
      <w:r w:rsidRPr="006825E1">
        <w:rPr>
          <w:rFonts w:asciiTheme="minorHAnsi" w:hAnsiTheme="minorHAnsi"/>
          <w:sz w:val="24"/>
          <w:szCs w:val="24"/>
        </w:rPr>
        <w:t xml:space="preserve">straining attempts to maintain familial relationships. </w:t>
      </w:r>
      <w:r w:rsidRPr="001F7E66">
        <w:rPr>
          <w:rFonts w:asciiTheme="minorHAnsi" w:hAnsiTheme="minorHAnsi"/>
          <w:sz w:val="24"/>
          <w:szCs w:val="24"/>
        </w:rPr>
        <w:t>Both prisoners and their visitors, including children, tend to find visitation stressful and frustrating, with problematic overcrowding and noise levels in the visiting areas, as well as a lack of physical contact.</w:t>
      </w:r>
      <w:r w:rsidRPr="001F7E66">
        <w:rPr>
          <w:rStyle w:val="FootnoteReference"/>
          <w:rFonts w:asciiTheme="minorHAnsi" w:hAnsiTheme="minorHAnsi"/>
          <w:sz w:val="24"/>
          <w:szCs w:val="24"/>
        </w:rPr>
        <w:footnoteReference w:id="64"/>
      </w:r>
      <w:r w:rsidRPr="001F7E66">
        <w:rPr>
          <w:rFonts w:asciiTheme="minorHAnsi" w:hAnsiTheme="minorHAnsi"/>
          <w:sz w:val="24"/>
          <w:szCs w:val="24"/>
        </w:rPr>
        <w:t xml:space="preserve"> A study in the UK found that most female inmates are never visited by their children, largely due to the problems outlined above.</w:t>
      </w:r>
      <w:r w:rsidRPr="001F7E66">
        <w:rPr>
          <w:rStyle w:val="FootnoteReference"/>
          <w:rFonts w:asciiTheme="minorHAnsi" w:hAnsiTheme="minorHAnsi"/>
          <w:sz w:val="24"/>
          <w:szCs w:val="24"/>
        </w:rPr>
        <w:footnoteReference w:id="65"/>
      </w:r>
      <w:r w:rsidRPr="001F7E66">
        <w:rPr>
          <w:rFonts w:asciiTheme="minorHAnsi" w:hAnsiTheme="minorHAnsi"/>
          <w:sz w:val="24"/>
          <w:szCs w:val="24"/>
        </w:rPr>
        <w:t xml:space="preserve"> On consultation during IPRT’s research, one female prisoner desired that the authorities </w:t>
      </w:r>
      <w:r w:rsidRPr="001F7E66">
        <w:rPr>
          <w:rFonts w:asciiTheme="minorHAnsi" w:hAnsiTheme="minorHAnsi"/>
          <w:i/>
          <w:sz w:val="24"/>
          <w:szCs w:val="24"/>
        </w:rPr>
        <w:t>‘show more compassion to mothers…better family friendly visits and longer visits for ours kids’</w:t>
      </w:r>
      <w:r w:rsidRPr="001F7E66">
        <w:rPr>
          <w:rFonts w:asciiTheme="minorHAnsi" w:hAnsiTheme="minorHAnsi"/>
          <w:sz w:val="24"/>
          <w:szCs w:val="24"/>
        </w:rPr>
        <w:t>.</w:t>
      </w:r>
      <w:r w:rsidRPr="001F7E66">
        <w:rPr>
          <w:rStyle w:val="FootnoteReference"/>
          <w:rFonts w:asciiTheme="minorHAnsi" w:hAnsiTheme="minorHAnsi"/>
          <w:sz w:val="24"/>
          <w:szCs w:val="24"/>
        </w:rPr>
        <w:footnoteReference w:id="66"/>
      </w:r>
      <w:r w:rsidRPr="001F7E66">
        <w:rPr>
          <w:rFonts w:asciiTheme="minorHAnsi" w:hAnsiTheme="minorHAnsi"/>
          <w:sz w:val="24"/>
          <w:szCs w:val="24"/>
        </w:rPr>
        <w:t xml:space="preserve"> </w:t>
      </w:r>
    </w:p>
    <w:p w14:paraId="1AFD402D" w14:textId="77777777" w:rsidR="00EE0545" w:rsidRPr="001F7E66" w:rsidRDefault="00EE0545" w:rsidP="00EE0545">
      <w:pPr>
        <w:pStyle w:val="ListParagraph"/>
        <w:jc w:val="both"/>
        <w:rPr>
          <w:rFonts w:asciiTheme="minorHAnsi" w:hAnsiTheme="minorHAnsi"/>
          <w:sz w:val="24"/>
          <w:szCs w:val="24"/>
        </w:rPr>
      </w:pPr>
    </w:p>
    <w:p w14:paraId="49FB9F8A" w14:textId="77777777" w:rsidR="00484CC4" w:rsidRDefault="00484CC4" w:rsidP="006825E1">
      <w:pPr>
        <w:spacing w:after="0" w:line="240" w:lineRule="auto"/>
        <w:contextualSpacing/>
        <w:jc w:val="both"/>
        <w:rPr>
          <w:rFonts w:cs="Times New Roman"/>
          <w:sz w:val="24"/>
          <w:szCs w:val="24"/>
          <w:lang w:eastAsia="en-IE"/>
        </w:rPr>
      </w:pPr>
    </w:p>
    <w:p w14:paraId="50401DDC" w14:textId="77777777" w:rsidR="006825E1" w:rsidRDefault="006825E1" w:rsidP="006825E1">
      <w:pPr>
        <w:spacing w:after="0" w:line="240" w:lineRule="auto"/>
        <w:contextualSpacing/>
        <w:jc w:val="both"/>
        <w:rPr>
          <w:rFonts w:cs="Times New Roman"/>
          <w:sz w:val="24"/>
          <w:szCs w:val="24"/>
          <w:lang w:eastAsia="en-IE"/>
        </w:rPr>
      </w:pPr>
    </w:p>
    <w:p w14:paraId="5D7C4E51" w14:textId="77777777" w:rsidR="006825E1" w:rsidRDefault="006825E1" w:rsidP="006825E1">
      <w:pPr>
        <w:spacing w:after="0" w:line="240" w:lineRule="auto"/>
        <w:contextualSpacing/>
        <w:jc w:val="both"/>
        <w:rPr>
          <w:rFonts w:cs="Times New Roman"/>
          <w:sz w:val="24"/>
          <w:szCs w:val="24"/>
          <w:lang w:eastAsia="en-IE"/>
        </w:rPr>
      </w:pPr>
    </w:p>
    <w:p w14:paraId="46C653F1" w14:textId="77777777" w:rsidR="006825E1" w:rsidRDefault="006825E1" w:rsidP="006825E1">
      <w:pPr>
        <w:spacing w:after="0" w:line="240" w:lineRule="auto"/>
        <w:contextualSpacing/>
        <w:jc w:val="both"/>
        <w:rPr>
          <w:rFonts w:cs="Times New Roman"/>
          <w:sz w:val="24"/>
          <w:szCs w:val="24"/>
          <w:lang w:eastAsia="en-IE"/>
        </w:rPr>
      </w:pPr>
    </w:p>
    <w:p w14:paraId="418F2848" w14:textId="77777777" w:rsidR="006825E1" w:rsidRDefault="006825E1" w:rsidP="006825E1">
      <w:pPr>
        <w:spacing w:after="0" w:line="240" w:lineRule="auto"/>
        <w:contextualSpacing/>
        <w:jc w:val="both"/>
        <w:rPr>
          <w:rFonts w:cs="Times New Roman"/>
          <w:sz w:val="24"/>
          <w:szCs w:val="24"/>
          <w:lang w:eastAsia="en-IE"/>
        </w:rPr>
      </w:pPr>
    </w:p>
    <w:tbl>
      <w:tblPr>
        <w:tblStyle w:val="TableGrid"/>
        <w:tblW w:w="0" w:type="auto"/>
        <w:tblInd w:w="720" w:type="dxa"/>
        <w:tblLook w:val="04A0" w:firstRow="1" w:lastRow="0" w:firstColumn="1" w:lastColumn="0" w:noHBand="0" w:noVBand="1"/>
      </w:tblPr>
      <w:tblGrid>
        <w:gridCol w:w="8296"/>
      </w:tblGrid>
      <w:tr w:rsidR="00484CC4" w14:paraId="0928DA16" w14:textId="77777777" w:rsidTr="00484CC4">
        <w:tc>
          <w:tcPr>
            <w:tcW w:w="9016" w:type="dxa"/>
          </w:tcPr>
          <w:p w14:paraId="674E7010" w14:textId="758DD6F4" w:rsidR="00484CC4" w:rsidRPr="00484CC4" w:rsidRDefault="00484CC4" w:rsidP="00484CC4">
            <w:pPr>
              <w:jc w:val="both"/>
              <w:rPr>
                <w:rFonts w:asciiTheme="minorHAnsi" w:hAnsiTheme="minorHAnsi"/>
                <w:b/>
                <w:sz w:val="24"/>
                <w:szCs w:val="24"/>
              </w:rPr>
            </w:pPr>
            <w:r w:rsidRPr="00484CC4">
              <w:rPr>
                <w:rFonts w:asciiTheme="minorHAnsi" w:hAnsiTheme="minorHAnsi"/>
                <w:b/>
                <w:sz w:val="24"/>
                <w:szCs w:val="24"/>
              </w:rPr>
              <w:lastRenderedPageBreak/>
              <w:t>IPRT recommends:</w:t>
            </w:r>
          </w:p>
          <w:p w14:paraId="472DFDD0" w14:textId="04D5670D" w:rsidR="00484CC4" w:rsidRPr="001F7E66" w:rsidRDefault="00484CC4" w:rsidP="00484CC4">
            <w:pPr>
              <w:pStyle w:val="ListParagraph"/>
              <w:numPr>
                <w:ilvl w:val="0"/>
                <w:numId w:val="30"/>
              </w:numPr>
              <w:jc w:val="both"/>
              <w:rPr>
                <w:rFonts w:asciiTheme="minorHAnsi" w:hAnsiTheme="minorHAnsi"/>
                <w:b/>
                <w:sz w:val="24"/>
                <w:szCs w:val="24"/>
              </w:rPr>
            </w:pPr>
            <w:r w:rsidRPr="001F7E66">
              <w:rPr>
                <w:rFonts w:asciiTheme="minorHAnsi" w:hAnsiTheme="minorHAnsi"/>
                <w:b/>
                <w:sz w:val="24"/>
                <w:szCs w:val="24"/>
              </w:rPr>
              <w:t>To develop alternatives to custody, which are specific to the requirements of mothers, to avoid the unnecessary imprisonment of mothers, in order to allow for the development of familial relationships in as normal a manner as possible and to promote both the mother and her children’s overall well-being.</w:t>
            </w:r>
          </w:p>
          <w:p w14:paraId="4A6EF2E6" w14:textId="77777777" w:rsidR="00484CC4" w:rsidRPr="001F7E66" w:rsidRDefault="00484CC4" w:rsidP="00484CC4">
            <w:pPr>
              <w:pStyle w:val="ListParagraph"/>
              <w:numPr>
                <w:ilvl w:val="0"/>
                <w:numId w:val="30"/>
              </w:numPr>
              <w:jc w:val="both"/>
              <w:rPr>
                <w:rFonts w:asciiTheme="minorHAnsi" w:hAnsiTheme="minorHAnsi"/>
                <w:b/>
                <w:sz w:val="24"/>
                <w:szCs w:val="24"/>
              </w:rPr>
            </w:pPr>
            <w:r w:rsidRPr="001F7E66">
              <w:rPr>
                <w:rFonts w:asciiTheme="minorHAnsi" w:hAnsiTheme="minorHAnsi"/>
                <w:b/>
                <w:sz w:val="24"/>
                <w:szCs w:val="24"/>
                <w:lang w:eastAsia="en-IE"/>
              </w:rPr>
              <w:t>To ensure that, where appropriate,</w:t>
            </w:r>
            <w:r w:rsidRPr="001F7E66">
              <w:rPr>
                <w:rFonts w:asciiTheme="minorHAnsi" w:hAnsiTheme="minorHAnsi"/>
                <w:sz w:val="24"/>
                <w:szCs w:val="24"/>
                <w:lang w:eastAsia="en-IE"/>
              </w:rPr>
              <w:t xml:space="preserve"> </w:t>
            </w:r>
            <w:r w:rsidRPr="001F7E66">
              <w:rPr>
                <w:rFonts w:asciiTheme="minorHAnsi" w:hAnsiTheme="minorHAnsi"/>
                <w:b/>
                <w:sz w:val="24"/>
                <w:szCs w:val="24"/>
                <w:lang w:eastAsia="en-IE"/>
              </w:rPr>
              <w:t xml:space="preserve">contact between female prisoners and their children be facilitated and encouraged as much as possible. </w:t>
            </w:r>
          </w:p>
          <w:p w14:paraId="579EFBA5" w14:textId="09DF073D" w:rsidR="00484CC4" w:rsidRPr="00484CC4" w:rsidRDefault="00484CC4" w:rsidP="006825E1">
            <w:pPr>
              <w:pStyle w:val="ListParagraph"/>
              <w:numPr>
                <w:ilvl w:val="0"/>
                <w:numId w:val="30"/>
              </w:numPr>
              <w:jc w:val="both"/>
              <w:rPr>
                <w:rFonts w:asciiTheme="minorHAnsi" w:hAnsiTheme="minorHAnsi"/>
                <w:b/>
                <w:sz w:val="24"/>
                <w:szCs w:val="24"/>
              </w:rPr>
            </w:pPr>
            <w:r w:rsidRPr="001F7E66">
              <w:rPr>
                <w:rFonts w:asciiTheme="minorHAnsi" w:hAnsiTheme="minorHAnsi"/>
                <w:b/>
                <w:sz w:val="24"/>
                <w:szCs w:val="24"/>
                <w:lang w:eastAsia="en-IE"/>
              </w:rPr>
              <w:t xml:space="preserve">To establish a Mother and Baby Unit at Limerick Prison </w:t>
            </w:r>
          </w:p>
        </w:tc>
      </w:tr>
    </w:tbl>
    <w:p w14:paraId="2BFE291B" w14:textId="77777777" w:rsidR="007C6C6C" w:rsidRPr="00484CC4" w:rsidRDefault="007C6C6C" w:rsidP="00484CC4">
      <w:pPr>
        <w:jc w:val="both"/>
        <w:rPr>
          <w:b/>
          <w:sz w:val="24"/>
          <w:szCs w:val="24"/>
        </w:rPr>
      </w:pPr>
    </w:p>
    <w:p w14:paraId="3C6618EC" w14:textId="46303EEE" w:rsidR="00660340" w:rsidRPr="006825E1" w:rsidRDefault="00EE0545" w:rsidP="00660340">
      <w:pPr>
        <w:pStyle w:val="ListParagraph"/>
        <w:numPr>
          <w:ilvl w:val="0"/>
          <w:numId w:val="26"/>
        </w:numPr>
        <w:spacing w:after="0" w:line="240" w:lineRule="auto"/>
        <w:jc w:val="both"/>
        <w:rPr>
          <w:rFonts w:asciiTheme="minorHAnsi" w:hAnsiTheme="minorHAnsi"/>
          <w:b/>
          <w:i/>
          <w:sz w:val="28"/>
          <w:szCs w:val="28"/>
          <w:lang w:eastAsia="en-IE"/>
        </w:rPr>
      </w:pPr>
      <w:r w:rsidRPr="006825E1">
        <w:rPr>
          <w:rFonts w:asciiTheme="minorHAnsi" w:hAnsiTheme="minorHAnsi"/>
          <w:b/>
          <w:i/>
          <w:sz w:val="28"/>
          <w:szCs w:val="28"/>
          <w:lang w:eastAsia="en-IE"/>
        </w:rPr>
        <w:t>Sex Workers in Prison</w:t>
      </w:r>
    </w:p>
    <w:p w14:paraId="108B6D76" w14:textId="1E58D8EF" w:rsidR="00484CC4" w:rsidRPr="006825E1" w:rsidRDefault="00EE0545" w:rsidP="006825E1">
      <w:pPr>
        <w:pStyle w:val="ListParagraph"/>
        <w:spacing w:before="0" w:after="0" w:line="240" w:lineRule="auto"/>
        <w:jc w:val="both"/>
        <w:rPr>
          <w:rFonts w:asciiTheme="minorHAnsi" w:hAnsiTheme="minorHAnsi"/>
          <w:sz w:val="24"/>
          <w:szCs w:val="24"/>
        </w:rPr>
      </w:pPr>
      <w:r w:rsidRPr="001F7E66">
        <w:rPr>
          <w:rFonts w:asciiTheme="minorHAnsi" w:hAnsiTheme="minorHAnsi"/>
          <w:sz w:val="24"/>
          <w:szCs w:val="24"/>
        </w:rPr>
        <w:t>Sex workers in Irish prison population</w:t>
      </w:r>
      <w:r w:rsidR="006825E1">
        <w:rPr>
          <w:rFonts w:asciiTheme="minorHAnsi" w:hAnsiTheme="minorHAnsi"/>
          <w:sz w:val="24"/>
          <w:szCs w:val="24"/>
        </w:rPr>
        <w:t xml:space="preserve">s remain a ‘hidden population’ </w:t>
      </w:r>
      <w:r w:rsidRPr="001F7E66">
        <w:rPr>
          <w:rFonts w:asciiTheme="minorHAnsi" w:hAnsiTheme="minorHAnsi"/>
          <w:sz w:val="24"/>
          <w:szCs w:val="24"/>
        </w:rPr>
        <w:t xml:space="preserve">due to the lack of data on prisoners formerly engaged/engaged in sex work. In its recent research on disease control in prisons, IPRT noted that, </w:t>
      </w:r>
      <w:r w:rsidRPr="001F7E66">
        <w:rPr>
          <w:rFonts w:asciiTheme="minorHAnsi" w:hAnsiTheme="minorHAnsi"/>
          <w:i/>
          <w:sz w:val="24"/>
          <w:szCs w:val="24"/>
        </w:rPr>
        <w:t>‘The link between sex work and Hepatitis C and HIV are well documented. This has implications for reception to prison upon incarceration and makes the case for routine screening of all entrants to prison. It also has implications for health care provision amongst detainees who have been sex workers’</w:t>
      </w:r>
      <w:r w:rsidRPr="001F7E66">
        <w:rPr>
          <w:rFonts w:asciiTheme="minorHAnsi" w:hAnsiTheme="minorHAnsi"/>
          <w:sz w:val="24"/>
          <w:szCs w:val="24"/>
        </w:rPr>
        <w:t>.</w:t>
      </w:r>
      <w:r w:rsidRPr="001F7E66">
        <w:rPr>
          <w:rStyle w:val="FootnoteReference"/>
          <w:rFonts w:asciiTheme="minorHAnsi" w:hAnsiTheme="minorHAnsi"/>
          <w:sz w:val="24"/>
          <w:szCs w:val="24"/>
        </w:rPr>
        <w:footnoteReference w:id="67"/>
      </w:r>
      <w:r w:rsidRPr="001F7E66">
        <w:rPr>
          <w:rFonts w:asciiTheme="minorHAnsi" w:hAnsiTheme="minorHAnsi"/>
          <w:sz w:val="24"/>
          <w:szCs w:val="24"/>
        </w:rPr>
        <w:t xml:space="preserve"> </w:t>
      </w:r>
      <w:r w:rsidRPr="006825E1">
        <w:rPr>
          <w:rFonts w:asciiTheme="minorHAnsi" w:hAnsiTheme="minorHAnsi"/>
          <w:sz w:val="24"/>
          <w:szCs w:val="24"/>
        </w:rPr>
        <w:t>International research suggests that inmates involved in sex work have specific needs relating to health care, securing housing, engaging with specific charities, while they also face the additional stigma of being a prisoner who also works in the sex industry. These women often struggle to engage with prison services due to the stigma surrounding sex work.</w:t>
      </w:r>
      <w:r w:rsidRPr="001F7E66">
        <w:rPr>
          <w:rStyle w:val="FootnoteReference"/>
          <w:rFonts w:asciiTheme="minorHAnsi" w:hAnsiTheme="minorHAnsi"/>
          <w:sz w:val="24"/>
          <w:szCs w:val="24"/>
        </w:rPr>
        <w:footnoteReference w:id="68"/>
      </w:r>
    </w:p>
    <w:p w14:paraId="66DC0001" w14:textId="77777777" w:rsidR="00484CC4" w:rsidRPr="00484CC4" w:rsidRDefault="00484CC4" w:rsidP="00484CC4">
      <w:pPr>
        <w:spacing w:after="0" w:line="240" w:lineRule="auto"/>
        <w:jc w:val="both"/>
        <w:rPr>
          <w:b/>
          <w:sz w:val="24"/>
          <w:szCs w:val="24"/>
        </w:rPr>
      </w:pPr>
    </w:p>
    <w:tbl>
      <w:tblPr>
        <w:tblStyle w:val="TableGrid"/>
        <w:tblW w:w="0" w:type="auto"/>
        <w:tblInd w:w="720" w:type="dxa"/>
        <w:tblLook w:val="04A0" w:firstRow="1" w:lastRow="0" w:firstColumn="1" w:lastColumn="0" w:noHBand="0" w:noVBand="1"/>
      </w:tblPr>
      <w:tblGrid>
        <w:gridCol w:w="8296"/>
      </w:tblGrid>
      <w:tr w:rsidR="00484CC4" w14:paraId="7E7F8F80" w14:textId="77777777" w:rsidTr="00484CC4">
        <w:tc>
          <w:tcPr>
            <w:tcW w:w="9016" w:type="dxa"/>
          </w:tcPr>
          <w:p w14:paraId="28F7BFF2" w14:textId="0581D3A3" w:rsidR="00484CC4" w:rsidRDefault="006825E1" w:rsidP="00484CC4">
            <w:pPr>
              <w:jc w:val="both"/>
              <w:rPr>
                <w:rFonts w:asciiTheme="minorHAnsi" w:hAnsiTheme="minorHAnsi"/>
                <w:b/>
                <w:sz w:val="24"/>
                <w:szCs w:val="24"/>
              </w:rPr>
            </w:pPr>
            <w:r>
              <w:rPr>
                <w:rFonts w:asciiTheme="minorHAnsi" w:hAnsiTheme="minorHAnsi"/>
                <w:b/>
                <w:sz w:val="24"/>
                <w:szCs w:val="24"/>
              </w:rPr>
              <w:t>IPRT recommends</w:t>
            </w:r>
            <w:r w:rsidR="00484CC4" w:rsidRPr="001F7E66">
              <w:rPr>
                <w:rFonts w:asciiTheme="minorHAnsi" w:hAnsiTheme="minorHAnsi"/>
                <w:b/>
                <w:sz w:val="24"/>
                <w:szCs w:val="24"/>
              </w:rPr>
              <w:t>:</w:t>
            </w:r>
          </w:p>
          <w:p w14:paraId="752E2192" w14:textId="77777777" w:rsidR="00D572BB" w:rsidRDefault="00D572BB" w:rsidP="00484CC4">
            <w:pPr>
              <w:jc w:val="both"/>
              <w:rPr>
                <w:rFonts w:asciiTheme="minorHAnsi" w:hAnsiTheme="minorHAnsi"/>
                <w:b/>
                <w:sz w:val="24"/>
                <w:szCs w:val="24"/>
              </w:rPr>
            </w:pPr>
            <w:bookmarkStart w:id="0" w:name="_GoBack"/>
            <w:bookmarkEnd w:id="0"/>
          </w:p>
          <w:p w14:paraId="0A08610B" w14:textId="42C58B77" w:rsidR="00484CC4" w:rsidRDefault="00484CC4" w:rsidP="006825E1">
            <w:pPr>
              <w:jc w:val="both"/>
              <w:rPr>
                <w:rFonts w:asciiTheme="minorHAnsi" w:hAnsiTheme="minorHAnsi"/>
                <w:b/>
                <w:sz w:val="24"/>
                <w:szCs w:val="24"/>
              </w:rPr>
            </w:pPr>
            <w:r w:rsidRPr="00484CC4">
              <w:rPr>
                <w:rFonts w:asciiTheme="minorHAnsi" w:hAnsiTheme="minorHAnsi"/>
                <w:b/>
                <w:sz w:val="24"/>
                <w:szCs w:val="24"/>
              </w:rPr>
              <w:t>Develop a specific policy and services to</w:t>
            </w:r>
            <w:r w:rsidRPr="00484CC4">
              <w:rPr>
                <w:rFonts w:asciiTheme="minorHAnsi" w:hAnsiTheme="minorHAnsi"/>
                <w:sz w:val="24"/>
                <w:szCs w:val="24"/>
                <w:lang w:val="en-IE" w:eastAsia="en-IE"/>
              </w:rPr>
              <w:t xml:space="preserve"> </w:t>
            </w:r>
            <w:r w:rsidRPr="00484CC4">
              <w:rPr>
                <w:rFonts w:asciiTheme="minorHAnsi" w:hAnsiTheme="minorHAnsi"/>
                <w:b/>
                <w:sz w:val="24"/>
                <w:szCs w:val="24"/>
                <w:lang w:val="en-IE" w:eastAsia="en-IE"/>
              </w:rPr>
              <w:t>aid s</w:t>
            </w:r>
            <w:r w:rsidR="006825E1">
              <w:rPr>
                <w:rFonts w:asciiTheme="minorHAnsi" w:hAnsiTheme="minorHAnsi"/>
                <w:b/>
                <w:sz w:val="24"/>
                <w:szCs w:val="24"/>
                <w:lang w:val="en-IE" w:eastAsia="en-IE"/>
              </w:rPr>
              <w:t xml:space="preserve">ex workers in the penal system to </w:t>
            </w:r>
            <w:r w:rsidRPr="00484CC4">
              <w:rPr>
                <w:rFonts w:asciiTheme="minorHAnsi" w:hAnsiTheme="minorHAnsi"/>
                <w:b/>
                <w:sz w:val="24"/>
                <w:szCs w:val="24"/>
                <w:lang w:val="en-IE" w:eastAsia="en-IE"/>
              </w:rPr>
              <w:t>help women</w:t>
            </w:r>
            <w:r w:rsidR="006825E1">
              <w:rPr>
                <w:rFonts w:asciiTheme="minorHAnsi" w:hAnsiTheme="minorHAnsi"/>
                <w:b/>
                <w:sz w:val="24"/>
                <w:szCs w:val="24"/>
                <w:lang w:val="en-IE" w:eastAsia="en-IE"/>
              </w:rPr>
              <w:t xml:space="preserve"> who want to exit the industry or </w:t>
            </w:r>
            <w:r w:rsidRPr="00484CC4">
              <w:rPr>
                <w:rFonts w:asciiTheme="minorHAnsi" w:hAnsiTheme="minorHAnsi"/>
                <w:b/>
                <w:sz w:val="24"/>
                <w:szCs w:val="24"/>
                <w:lang w:val="en-IE" w:eastAsia="en-IE"/>
              </w:rPr>
              <w:t>develop safer working practices. Counselling should be offered for those abused while working, and outreach links should be developed between prisons and the charities working with sex workers. This support service must be non-judgmental. Staff training would thus be required with regards to using non-stigmatising language.</w:t>
            </w:r>
            <w:r w:rsidRPr="001F7E66">
              <w:rPr>
                <w:vertAlign w:val="superscript"/>
                <w:lang w:val="en-IE" w:eastAsia="en-IE"/>
              </w:rPr>
              <w:footnoteReference w:id="69"/>
            </w:r>
          </w:p>
        </w:tc>
      </w:tr>
    </w:tbl>
    <w:p w14:paraId="7482E88C" w14:textId="77777777" w:rsidR="007C6C6C" w:rsidRPr="001F7E66" w:rsidRDefault="007C6C6C" w:rsidP="007C6C6C">
      <w:pPr>
        <w:spacing w:after="0" w:line="240" w:lineRule="auto"/>
        <w:jc w:val="both"/>
        <w:rPr>
          <w:b/>
          <w:sz w:val="24"/>
          <w:szCs w:val="24"/>
        </w:rPr>
      </w:pPr>
    </w:p>
    <w:p w14:paraId="67E250B8" w14:textId="77777777" w:rsidR="00484CC4" w:rsidRDefault="00484CC4" w:rsidP="00EE0545">
      <w:pPr>
        <w:spacing w:after="0" w:line="240" w:lineRule="auto"/>
        <w:jc w:val="both"/>
        <w:rPr>
          <w:b/>
          <w:sz w:val="28"/>
          <w:szCs w:val="28"/>
          <w:u w:val="single"/>
          <w:lang w:eastAsia="en-IE"/>
        </w:rPr>
      </w:pPr>
    </w:p>
    <w:p w14:paraId="703F945C" w14:textId="77777777" w:rsidR="00484CC4" w:rsidRDefault="00484CC4" w:rsidP="00EE0545">
      <w:pPr>
        <w:spacing w:after="0" w:line="240" w:lineRule="auto"/>
        <w:jc w:val="both"/>
        <w:rPr>
          <w:b/>
          <w:sz w:val="28"/>
          <w:szCs w:val="28"/>
          <w:u w:val="single"/>
          <w:lang w:eastAsia="en-IE"/>
        </w:rPr>
      </w:pPr>
    </w:p>
    <w:p w14:paraId="522B6E61" w14:textId="77777777" w:rsidR="00484CC4" w:rsidRDefault="00484CC4" w:rsidP="00EE0545">
      <w:pPr>
        <w:spacing w:after="0" w:line="240" w:lineRule="auto"/>
        <w:jc w:val="both"/>
        <w:rPr>
          <w:b/>
          <w:sz w:val="28"/>
          <w:szCs w:val="28"/>
          <w:u w:val="single"/>
          <w:lang w:eastAsia="en-IE"/>
        </w:rPr>
      </w:pPr>
    </w:p>
    <w:p w14:paraId="67365AE0" w14:textId="77777777" w:rsidR="00484CC4" w:rsidRDefault="00484CC4" w:rsidP="00EE0545">
      <w:pPr>
        <w:spacing w:after="0" w:line="240" w:lineRule="auto"/>
        <w:jc w:val="both"/>
        <w:rPr>
          <w:b/>
          <w:sz w:val="28"/>
          <w:szCs w:val="28"/>
          <w:u w:val="single"/>
          <w:lang w:eastAsia="en-IE"/>
        </w:rPr>
      </w:pPr>
    </w:p>
    <w:p w14:paraId="2B4922D6" w14:textId="77777777" w:rsidR="00484CC4" w:rsidRDefault="00484CC4" w:rsidP="00EE0545">
      <w:pPr>
        <w:spacing w:after="0" w:line="240" w:lineRule="auto"/>
        <w:jc w:val="both"/>
        <w:rPr>
          <w:b/>
          <w:sz w:val="28"/>
          <w:szCs w:val="28"/>
          <w:u w:val="single"/>
          <w:lang w:eastAsia="en-IE"/>
        </w:rPr>
      </w:pPr>
    </w:p>
    <w:p w14:paraId="2FCA2EF4" w14:textId="77777777" w:rsidR="00484CC4" w:rsidRDefault="00484CC4" w:rsidP="00EE0545">
      <w:pPr>
        <w:spacing w:after="0" w:line="240" w:lineRule="auto"/>
        <w:jc w:val="both"/>
        <w:rPr>
          <w:b/>
          <w:sz w:val="28"/>
          <w:szCs w:val="28"/>
          <w:u w:val="single"/>
          <w:lang w:eastAsia="en-IE"/>
        </w:rPr>
      </w:pPr>
    </w:p>
    <w:p w14:paraId="032C7446" w14:textId="77777777" w:rsidR="00484CC4" w:rsidRDefault="00484CC4" w:rsidP="00EE0545">
      <w:pPr>
        <w:spacing w:after="0" w:line="240" w:lineRule="auto"/>
        <w:jc w:val="both"/>
        <w:rPr>
          <w:b/>
          <w:sz w:val="28"/>
          <w:szCs w:val="28"/>
          <w:u w:val="single"/>
          <w:lang w:eastAsia="en-IE"/>
        </w:rPr>
      </w:pPr>
    </w:p>
    <w:p w14:paraId="5B754851" w14:textId="77777777" w:rsidR="00484CC4" w:rsidRDefault="00484CC4" w:rsidP="00EE0545">
      <w:pPr>
        <w:spacing w:after="0" w:line="240" w:lineRule="auto"/>
        <w:jc w:val="both"/>
        <w:rPr>
          <w:b/>
          <w:sz w:val="28"/>
          <w:szCs w:val="28"/>
          <w:u w:val="single"/>
          <w:lang w:eastAsia="en-IE"/>
        </w:rPr>
      </w:pPr>
    </w:p>
    <w:p w14:paraId="248EC86C" w14:textId="0B98AC41" w:rsidR="00EE0545" w:rsidRPr="001F7E66" w:rsidRDefault="00EE0545" w:rsidP="00EE0545">
      <w:pPr>
        <w:spacing w:after="0" w:line="240" w:lineRule="auto"/>
        <w:jc w:val="both"/>
        <w:rPr>
          <w:b/>
          <w:sz w:val="28"/>
          <w:szCs w:val="28"/>
          <w:u w:val="single"/>
          <w:lang w:eastAsia="en-IE"/>
        </w:rPr>
      </w:pPr>
      <w:r w:rsidRPr="001F7E66">
        <w:rPr>
          <w:b/>
          <w:sz w:val="28"/>
          <w:szCs w:val="28"/>
          <w:u w:val="single"/>
          <w:lang w:eastAsia="en-IE"/>
        </w:rPr>
        <w:t>I</w:t>
      </w:r>
      <w:r w:rsidR="006825E1">
        <w:rPr>
          <w:b/>
          <w:sz w:val="28"/>
          <w:szCs w:val="28"/>
          <w:u w:val="single"/>
          <w:lang w:eastAsia="en-IE"/>
        </w:rPr>
        <w:t>ssue 6</w:t>
      </w:r>
      <w:r w:rsidR="00075B71" w:rsidRPr="001F7E66">
        <w:rPr>
          <w:b/>
          <w:sz w:val="28"/>
          <w:szCs w:val="28"/>
          <w:u w:val="single"/>
          <w:lang w:eastAsia="en-IE"/>
        </w:rPr>
        <w:t>:</w:t>
      </w:r>
      <w:r w:rsidRPr="001F7E66">
        <w:rPr>
          <w:b/>
          <w:sz w:val="28"/>
          <w:szCs w:val="28"/>
          <w:u w:val="single"/>
          <w:lang w:eastAsia="en-IE"/>
        </w:rPr>
        <w:t xml:space="preserve"> </w:t>
      </w:r>
      <w:r w:rsidR="006825E1">
        <w:rPr>
          <w:b/>
          <w:sz w:val="28"/>
          <w:szCs w:val="28"/>
          <w:u w:val="single"/>
          <w:lang w:eastAsia="en-IE"/>
        </w:rPr>
        <w:t>Barriers to</w:t>
      </w:r>
      <w:r w:rsidR="00075B71" w:rsidRPr="001F7E66">
        <w:rPr>
          <w:b/>
          <w:sz w:val="28"/>
          <w:szCs w:val="28"/>
          <w:u w:val="single"/>
          <w:lang w:eastAsia="en-IE"/>
        </w:rPr>
        <w:t xml:space="preserve"> CEDAW Implementation </w:t>
      </w:r>
    </w:p>
    <w:p w14:paraId="772335A4" w14:textId="77777777" w:rsidR="00EE0545" w:rsidRPr="001F7E66" w:rsidRDefault="00EE0545" w:rsidP="00EE0545">
      <w:pPr>
        <w:spacing w:after="0" w:line="240" w:lineRule="auto"/>
        <w:jc w:val="both"/>
        <w:rPr>
          <w:sz w:val="24"/>
          <w:szCs w:val="24"/>
          <w:lang w:eastAsia="en-IE"/>
        </w:rPr>
      </w:pPr>
    </w:p>
    <w:p w14:paraId="2009C72A" w14:textId="02269799" w:rsidR="00EE0545" w:rsidRPr="001F7E66" w:rsidRDefault="00EE0545" w:rsidP="00EE0545">
      <w:pPr>
        <w:spacing w:after="0" w:line="240" w:lineRule="auto"/>
        <w:jc w:val="both"/>
        <w:rPr>
          <w:sz w:val="24"/>
          <w:szCs w:val="24"/>
        </w:rPr>
      </w:pPr>
      <w:r w:rsidRPr="001F7E66">
        <w:rPr>
          <w:sz w:val="24"/>
          <w:szCs w:val="24"/>
          <w:lang w:eastAsia="en-IE"/>
        </w:rPr>
        <w:t xml:space="preserve">While IPRT notes and welcomes a number of positive developments over the past number of years such as the publication of a gender-specific strategy by the Irish Prison and Probation Services, </w:t>
      </w:r>
      <w:r w:rsidRPr="001F7E66">
        <w:rPr>
          <w:sz w:val="24"/>
          <w:szCs w:val="24"/>
        </w:rPr>
        <w:t>very little of what was promised has actually been delivered. While the recognition that women prisoners have different needs to their male counterparts and the strategy itself are both very welcome, strategy without action makes very little difference to the lives of this vulnerable cohort of women in Irish prisons. IPRT hopes that the strategy will be reviewed at the end of 2016, as stated by Minister Fitzgerald earlier this summer, and that implementation will follow quickly.</w:t>
      </w:r>
      <w:r w:rsidRPr="001F7E66">
        <w:rPr>
          <w:sz w:val="24"/>
          <w:szCs w:val="24"/>
          <w:vertAlign w:val="superscript"/>
        </w:rPr>
        <w:footnoteReference w:id="70"/>
      </w:r>
    </w:p>
    <w:p w14:paraId="655AAE3E" w14:textId="77777777" w:rsidR="00EE0545" w:rsidRPr="001F7E66" w:rsidRDefault="00EE0545" w:rsidP="00EE0545">
      <w:pPr>
        <w:spacing w:after="0" w:line="240" w:lineRule="auto"/>
        <w:jc w:val="both"/>
        <w:rPr>
          <w:sz w:val="24"/>
          <w:szCs w:val="24"/>
        </w:rPr>
      </w:pPr>
    </w:p>
    <w:p w14:paraId="166DD003" w14:textId="1D927A30" w:rsidR="00EE0545" w:rsidRPr="001F7E66" w:rsidRDefault="00EE0545" w:rsidP="00EE0545">
      <w:pPr>
        <w:spacing w:after="0" w:line="240" w:lineRule="auto"/>
        <w:contextualSpacing/>
        <w:jc w:val="both"/>
        <w:rPr>
          <w:rFonts w:cs="Times New Roman"/>
          <w:sz w:val="24"/>
          <w:szCs w:val="24"/>
          <w:lang w:eastAsia="en-IE"/>
        </w:rPr>
      </w:pPr>
      <w:r w:rsidRPr="001F7E66">
        <w:rPr>
          <w:rFonts w:cs="Times New Roman"/>
          <w:sz w:val="24"/>
          <w:szCs w:val="24"/>
          <w:lang w:eastAsia="en-IE"/>
        </w:rPr>
        <w:t xml:space="preserve">Within the IPS, there is </w:t>
      </w:r>
      <w:r w:rsidRPr="00D572BB">
        <w:rPr>
          <w:rFonts w:cs="Times New Roman"/>
          <w:sz w:val="24"/>
          <w:szCs w:val="24"/>
          <w:lang w:eastAsia="en-IE"/>
        </w:rPr>
        <w:t>no dedicated focal point for the oversight of women’s prisons,</w:t>
      </w:r>
      <w:r w:rsidRPr="001F7E66">
        <w:rPr>
          <w:rFonts w:cs="Times New Roman"/>
          <w:sz w:val="24"/>
          <w:szCs w:val="24"/>
          <w:lang w:eastAsia="en-IE"/>
        </w:rPr>
        <w:t xml:space="preserve"> the development of policy for women’s prisons, and the implementation of this policy. IPRT believes that the streamlining of this work into one specialised role would bring an improved sense of coherence to the female prison estate in Ireland, and ensure improved policy implementation with regards to women and the Irish criminal justice system. </w:t>
      </w:r>
    </w:p>
    <w:p w14:paraId="62DB752F" w14:textId="77777777" w:rsidR="00EE0545" w:rsidRDefault="00EE0545" w:rsidP="00EE0545">
      <w:pPr>
        <w:spacing w:after="0" w:line="240" w:lineRule="auto"/>
        <w:jc w:val="both"/>
        <w:rPr>
          <w:sz w:val="24"/>
          <w:szCs w:val="24"/>
          <w:lang w:eastAsia="en-IE"/>
        </w:rPr>
      </w:pPr>
    </w:p>
    <w:tbl>
      <w:tblPr>
        <w:tblStyle w:val="TableGrid"/>
        <w:tblW w:w="0" w:type="auto"/>
        <w:tblLook w:val="04A0" w:firstRow="1" w:lastRow="0" w:firstColumn="1" w:lastColumn="0" w:noHBand="0" w:noVBand="1"/>
      </w:tblPr>
      <w:tblGrid>
        <w:gridCol w:w="9016"/>
      </w:tblGrid>
      <w:tr w:rsidR="00484CC4" w14:paraId="18A9516B" w14:textId="77777777" w:rsidTr="00484CC4">
        <w:tc>
          <w:tcPr>
            <w:tcW w:w="9016" w:type="dxa"/>
          </w:tcPr>
          <w:p w14:paraId="161729D8" w14:textId="48BFC763" w:rsidR="00484CC4" w:rsidRPr="001F7E66" w:rsidRDefault="00484CC4" w:rsidP="00484CC4">
            <w:pPr>
              <w:jc w:val="both"/>
              <w:rPr>
                <w:rFonts w:asciiTheme="minorHAnsi" w:hAnsiTheme="minorHAnsi"/>
                <w:b/>
                <w:sz w:val="24"/>
                <w:szCs w:val="24"/>
                <w:lang w:eastAsia="en-IE"/>
              </w:rPr>
            </w:pPr>
            <w:r w:rsidRPr="001F7E66">
              <w:rPr>
                <w:rFonts w:asciiTheme="minorHAnsi" w:hAnsiTheme="minorHAnsi"/>
                <w:b/>
                <w:sz w:val="24"/>
                <w:szCs w:val="24"/>
                <w:lang w:eastAsia="en-IE"/>
              </w:rPr>
              <w:t xml:space="preserve">IPRT </w:t>
            </w:r>
            <w:r w:rsidR="00D572BB">
              <w:rPr>
                <w:rFonts w:asciiTheme="minorHAnsi" w:hAnsiTheme="minorHAnsi"/>
                <w:b/>
                <w:sz w:val="24"/>
                <w:szCs w:val="24"/>
                <w:lang w:eastAsia="en-IE"/>
              </w:rPr>
              <w:t>recommends</w:t>
            </w:r>
            <w:r w:rsidRPr="001F7E66">
              <w:rPr>
                <w:rFonts w:asciiTheme="minorHAnsi" w:hAnsiTheme="minorHAnsi"/>
                <w:b/>
                <w:sz w:val="24"/>
                <w:szCs w:val="24"/>
                <w:lang w:eastAsia="en-IE"/>
              </w:rPr>
              <w:t>:</w:t>
            </w:r>
          </w:p>
          <w:p w14:paraId="11AD0004" w14:textId="7FADDB56" w:rsidR="00484CC4" w:rsidRPr="001F7E66" w:rsidRDefault="00D572BB" w:rsidP="00484CC4">
            <w:pPr>
              <w:pStyle w:val="ListParagraph"/>
              <w:numPr>
                <w:ilvl w:val="0"/>
                <w:numId w:val="29"/>
              </w:numPr>
              <w:spacing w:after="0" w:line="240" w:lineRule="auto"/>
              <w:jc w:val="both"/>
              <w:rPr>
                <w:rFonts w:asciiTheme="minorHAnsi" w:hAnsiTheme="minorHAnsi"/>
                <w:b/>
                <w:sz w:val="24"/>
                <w:szCs w:val="24"/>
                <w:lang w:eastAsia="en-IE"/>
              </w:rPr>
            </w:pPr>
            <w:r>
              <w:rPr>
                <w:rFonts w:asciiTheme="minorHAnsi" w:hAnsiTheme="minorHAnsi"/>
                <w:b/>
                <w:sz w:val="24"/>
                <w:szCs w:val="24"/>
                <w:lang w:eastAsia="en-IE"/>
              </w:rPr>
              <w:t xml:space="preserve">Implementation of </w:t>
            </w:r>
            <w:r w:rsidR="00484CC4" w:rsidRPr="001F7E66">
              <w:rPr>
                <w:rFonts w:asciiTheme="minorHAnsi" w:hAnsiTheme="minorHAnsi"/>
                <w:b/>
                <w:i/>
                <w:sz w:val="24"/>
                <w:szCs w:val="24"/>
                <w:lang w:eastAsia="en-IE"/>
              </w:rPr>
              <w:t>Joint Probation Service – Irish Prison Service Strategy 2014-2016: An Effective Response to Women Who Offend</w:t>
            </w:r>
          </w:p>
          <w:p w14:paraId="1916BEFB" w14:textId="4767D39E" w:rsidR="00484CC4" w:rsidRPr="00484CC4" w:rsidRDefault="00D572BB" w:rsidP="00EE0545">
            <w:pPr>
              <w:pStyle w:val="ListParagraph"/>
              <w:numPr>
                <w:ilvl w:val="0"/>
                <w:numId w:val="29"/>
              </w:numPr>
              <w:spacing w:after="0" w:line="240" w:lineRule="auto"/>
              <w:jc w:val="both"/>
              <w:rPr>
                <w:rFonts w:asciiTheme="minorHAnsi" w:hAnsiTheme="minorHAnsi"/>
                <w:b/>
                <w:sz w:val="24"/>
                <w:szCs w:val="24"/>
                <w:lang w:eastAsia="en-IE"/>
              </w:rPr>
            </w:pPr>
            <w:r>
              <w:rPr>
                <w:rFonts w:asciiTheme="minorHAnsi" w:hAnsiTheme="minorHAnsi"/>
                <w:b/>
                <w:sz w:val="24"/>
                <w:szCs w:val="24"/>
                <w:lang w:eastAsia="en-IE"/>
              </w:rPr>
              <w:t>Development of</w:t>
            </w:r>
            <w:r w:rsidR="00484CC4" w:rsidRPr="001F7E66">
              <w:rPr>
                <w:rFonts w:asciiTheme="minorHAnsi" w:hAnsiTheme="minorHAnsi"/>
                <w:b/>
                <w:sz w:val="24"/>
                <w:szCs w:val="24"/>
                <w:lang w:eastAsia="en-IE"/>
              </w:rPr>
              <w:t xml:space="preserve"> a focal point for the oversight of women’s prisons within the Irish Prison Service, which would ensure improved gender equality policy implementation and bring an improved sense of coherence to the female prison estate. </w:t>
            </w:r>
          </w:p>
        </w:tc>
      </w:tr>
    </w:tbl>
    <w:p w14:paraId="362B9E8C" w14:textId="77777777" w:rsidR="00484CC4" w:rsidRDefault="00484CC4" w:rsidP="00EE0545">
      <w:pPr>
        <w:spacing w:after="0" w:line="240" w:lineRule="auto"/>
        <w:jc w:val="both"/>
        <w:rPr>
          <w:sz w:val="24"/>
          <w:szCs w:val="24"/>
          <w:lang w:eastAsia="en-IE"/>
        </w:rPr>
      </w:pPr>
    </w:p>
    <w:p w14:paraId="47861867" w14:textId="77777777" w:rsidR="00484CC4" w:rsidRDefault="00484CC4" w:rsidP="00EE0545">
      <w:pPr>
        <w:spacing w:after="0" w:line="240" w:lineRule="auto"/>
        <w:jc w:val="both"/>
        <w:rPr>
          <w:sz w:val="24"/>
          <w:szCs w:val="24"/>
          <w:lang w:eastAsia="en-IE"/>
        </w:rPr>
      </w:pPr>
    </w:p>
    <w:p w14:paraId="7E62FA5C" w14:textId="77777777" w:rsidR="00484CC4" w:rsidRPr="001F7E66" w:rsidRDefault="00484CC4" w:rsidP="00EE0545">
      <w:pPr>
        <w:spacing w:after="0" w:line="240" w:lineRule="auto"/>
        <w:jc w:val="both"/>
        <w:rPr>
          <w:sz w:val="24"/>
          <w:szCs w:val="24"/>
          <w:lang w:eastAsia="en-IE"/>
        </w:rPr>
      </w:pPr>
    </w:p>
    <w:p w14:paraId="65ACA682" w14:textId="77777777" w:rsidR="00EE0545" w:rsidRPr="001F7E66" w:rsidRDefault="00EE0545" w:rsidP="00EE0545">
      <w:pPr>
        <w:spacing w:after="0" w:line="240" w:lineRule="auto"/>
        <w:jc w:val="both"/>
        <w:rPr>
          <w:sz w:val="24"/>
          <w:szCs w:val="24"/>
          <w:lang w:eastAsia="en-IE"/>
        </w:rPr>
      </w:pPr>
    </w:p>
    <w:p w14:paraId="0D894558" w14:textId="77777777" w:rsidR="00EF2073" w:rsidRPr="001F7E66" w:rsidRDefault="00EF2073" w:rsidP="00227B55">
      <w:pPr>
        <w:spacing w:after="0" w:line="240" w:lineRule="auto"/>
        <w:ind w:left="1440"/>
        <w:contextualSpacing/>
        <w:jc w:val="center"/>
        <w:rPr>
          <w:rFonts w:cs="Times New Roman"/>
          <w:i/>
          <w:sz w:val="24"/>
          <w:szCs w:val="24"/>
          <w:lang w:eastAsia="en-IE"/>
        </w:rPr>
      </w:pPr>
    </w:p>
    <w:p w14:paraId="6FA4C81B" w14:textId="77777777" w:rsidR="00EF2073" w:rsidRPr="001F7E66" w:rsidRDefault="00EF2073" w:rsidP="00EF2073">
      <w:pPr>
        <w:pStyle w:val="ListParagraph"/>
        <w:jc w:val="both"/>
        <w:rPr>
          <w:rFonts w:asciiTheme="minorHAnsi" w:hAnsiTheme="minorHAnsi"/>
          <w:i/>
          <w:sz w:val="24"/>
          <w:szCs w:val="24"/>
        </w:rPr>
      </w:pPr>
    </w:p>
    <w:p w14:paraId="2CA50821" w14:textId="77777777" w:rsidR="00EF2073" w:rsidRPr="001F7E66" w:rsidRDefault="00EF2073" w:rsidP="00EF2073">
      <w:pPr>
        <w:pStyle w:val="ListParagraph"/>
        <w:spacing w:after="100" w:line="240" w:lineRule="auto"/>
        <w:jc w:val="both"/>
        <w:rPr>
          <w:rFonts w:asciiTheme="minorHAnsi" w:hAnsiTheme="minorHAnsi"/>
          <w:sz w:val="24"/>
          <w:szCs w:val="24"/>
        </w:rPr>
      </w:pPr>
    </w:p>
    <w:sectPr w:rsidR="00EF2073" w:rsidRPr="001F7E66" w:rsidSect="00661D2C">
      <w:footerReference w:type="default" r:id="rId1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29BC4" w14:textId="77777777" w:rsidR="00756574" w:rsidRDefault="00756574" w:rsidP="000F0CB2">
      <w:pPr>
        <w:spacing w:after="0" w:line="240" w:lineRule="auto"/>
      </w:pPr>
      <w:r>
        <w:separator/>
      </w:r>
    </w:p>
  </w:endnote>
  <w:endnote w:type="continuationSeparator" w:id="0">
    <w:p w14:paraId="641A8BB2" w14:textId="77777777" w:rsidR="00756574" w:rsidRDefault="00756574" w:rsidP="000F0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onsolas">
    <w:panose1 w:val="020B0609020204030204"/>
    <w:charset w:val="00"/>
    <w:family w:val="auto"/>
    <w:pitch w:val="variable"/>
    <w:sig w:usb0="E10002FF" w:usb1="4000F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2810702"/>
      <w:docPartObj>
        <w:docPartGallery w:val="Page Numbers (Bottom of Page)"/>
        <w:docPartUnique/>
      </w:docPartObj>
    </w:sdtPr>
    <w:sdtEndPr>
      <w:rPr>
        <w:noProof/>
      </w:rPr>
    </w:sdtEndPr>
    <w:sdtContent>
      <w:p w14:paraId="4BA52080" w14:textId="622D7A8E" w:rsidR="00D572BB" w:rsidRDefault="00D572BB">
        <w:pPr>
          <w:pStyle w:val="Footer"/>
          <w:jc w:val="right"/>
        </w:pPr>
        <w:r>
          <w:fldChar w:fldCharType="begin"/>
        </w:r>
        <w:r>
          <w:instrText xml:space="preserve"> PAGE   \* MERGEFORMAT </w:instrText>
        </w:r>
        <w:r>
          <w:fldChar w:fldCharType="separate"/>
        </w:r>
        <w:r w:rsidR="00CA5340">
          <w:rPr>
            <w:noProof/>
          </w:rPr>
          <w:t>1</w:t>
        </w:r>
        <w:r>
          <w:rPr>
            <w:noProof/>
          </w:rPr>
          <w:fldChar w:fldCharType="end"/>
        </w:r>
      </w:p>
    </w:sdtContent>
  </w:sdt>
  <w:p w14:paraId="719AAECD" w14:textId="77777777" w:rsidR="00D572BB" w:rsidRDefault="00D572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0B9D7" w14:textId="77777777" w:rsidR="00756574" w:rsidRDefault="00756574" w:rsidP="000F0CB2">
      <w:pPr>
        <w:spacing w:after="0" w:line="240" w:lineRule="auto"/>
      </w:pPr>
      <w:r>
        <w:separator/>
      </w:r>
    </w:p>
  </w:footnote>
  <w:footnote w:type="continuationSeparator" w:id="0">
    <w:p w14:paraId="27937C67" w14:textId="77777777" w:rsidR="00756574" w:rsidRDefault="00756574" w:rsidP="000F0CB2">
      <w:pPr>
        <w:spacing w:after="0" w:line="240" w:lineRule="auto"/>
      </w:pPr>
      <w:r>
        <w:continuationSeparator/>
      </w:r>
    </w:p>
  </w:footnote>
  <w:footnote w:id="1">
    <w:p w14:paraId="449A259A" w14:textId="63D72617" w:rsidR="00D572BB" w:rsidRDefault="00D572BB">
      <w:pPr>
        <w:pStyle w:val="FootnoteText"/>
      </w:pPr>
      <w:r>
        <w:rPr>
          <w:rStyle w:val="FootnoteReference"/>
        </w:rPr>
        <w:footnoteRef/>
      </w:r>
      <w:r>
        <w:t xml:space="preserve"> IPRT, </w:t>
      </w:r>
      <w:r>
        <w:rPr>
          <w:i/>
        </w:rPr>
        <w:t xml:space="preserve">Position Paper 10 : Women in the Criminal Justice System: Towards a Non-Custodial Approach, </w:t>
      </w:r>
      <w:r>
        <w:t xml:space="preserve">November 2013, available online at </w:t>
      </w:r>
      <w:hyperlink r:id="rId1" w:history="1">
        <w:r w:rsidRPr="008E2118">
          <w:rPr>
            <w:rStyle w:val="Hyperlink"/>
          </w:rPr>
          <w:t>http://www.iprt.ie/files/IPRT_Position_Paper_on_Women_in_the_Criminal_Justice_System.pdf</w:t>
        </w:r>
      </w:hyperlink>
      <w:r>
        <w:t>.</w:t>
      </w:r>
    </w:p>
  </w:footnote>
  <w:footnote w:id="2">
    <w:p w14:paraId="1BD065C0" w14:textId="1DC9DAAF" w:rsidR="00D572BB" w:rsidRPr="00672674" w:rsidRDefault="00D572BB">
      <w:pPr>
        <w:pStyle w:val="FootnoteText"/>
      </w:pPr>
      <w:r>
        <w:rPr>
          <w:rStyle w:val="FootnoteReference"/>
        </w:rPr>
        <w:footnoteRef/>
      </w:r>
      <w:r>
        <w:t xml:space="preserve"> </w:t>
      </w:r>
    </w:p>
  </w:footnote>
  <w:footnote w:id="3">
    <w:p w14:paraId="753668CD" w14:textId="3FA1F826" w:rsidR="00D572BB" w:rsidRDefault="00D572BB">
      <w:pPr>
        <w:pStyle w:val="FootnoteText"/>
      </w:pPr>
      <w:r>
        <w:rPr>
          <w:rStyle w:val="FootnoteReference"/>
        </w:rPr>
        <w:footnoteRef/>
      </w:r>
      <w:r>
        <w:t xml:space="preserve"> </w:t>
      </w:r>
    </w:p>
  </w:footnote>
  <w:footnote w:id="4">
    <w:p w14:paraId="40FC02D1" w14:textId="186B5356" w:rsidR="00D572BB" w:rsidRDefault="00D572BB">
      <w:pPr>
        <w:pStyle w:val="FootnoteText"/>
      </w:pPr>
      <w:r>
        <w:rPr>
          <w:rStyle w:val="FootnoteReference"/>
        </w:rPr>
        <w:footnoteRef/>
      </w:r>
      <w:r>
        <w:t xml:space="preserve"> </w:t>
      </w:r>
    </w:p>
  </w:footnote>
  <w:footnote w:id="5">
    <w:p w14:paraId="69262252" w14:textId="77777777" w:rsidR="00D572BB" w:rsidRPr="001C3FB4" w:rsidRDefault="00D572BB" w:rsidP="000661B2">
      <w:pPr>
        <w:pStyle w:val="FootnoteText"/>
      </w:pPr>
      <w:r>
        <w:rPr>
          <w:rStyle w:val="FootnoteReference"/>
        </w:rPr>
        <w:footnoteRef/>
      </w:r>
      <w:r>
        <w:t xml:space="preserve"> </w:t>
      </w:r>
      <w:r>
        <w:t xml:space="preserve">Irish Prison Service, </w:t>
      </w:r>
      <w:r>
        <w:rPr>
          <w:i/>
        </w:rPr>
        <w:t xml:space="preserve">Annual Report 2015, </w:t>
      </w:r>
      <w:r>
        <w:t xml:space="preserve">p. 29. Irish Prison Service, </w:t>
      </w:r>
      <w:r>
        <w:rPr>
          <w:i/>
        </w:rPr>
        <w:t xml:space="preserve">Annual Report 2014, </w:t>
      </w:r>
      <w:r>
        <w:t xml:space="preserve">p. 25. </w:t>
      </w:r>
    </w:p>
  </w:footnote>
  <w:footnote w:id="6">
    <w:p w14:paraId="766EF541" w14:textId="77777777" w:rsidR="00D572BB" w:rsidRDefault="00D572BB" w:rsidP="000661B2">
      <w:pPr>
        <w:pStyle w:val="FootnoteText"/>
      </w:pPr>
      <w:r>
        <w:rPr>
          <w:rStyle w:val="FootnoteReference"/>
        </w:rPr>
        <w:footnoteRef/>
      </w:r>
      <w:r>
        <w:t xml:space="preserve"> </w:t>
      </w:r>
      <w:r w:rsidRPr="00090F2C">
        <w:t>Inspector of Prisons</w:t>
      </w:r>
      <w:r>
        <w:t>,</w:t>
      </w:r>
      <w:r w:rsidRPr="00090F2C">
        <w:t xml:space="preserve"> </w:t>
      </w:r>
      <w:r w:rsidRPr="00090F2C">
        <w:rPr>
          <w:i/>
        </w:rPr>
        <w:t xml:space="preserve">Interim Report on the </w:t>
      </w:r>
      <w:proofErr w:type="spellStart"/>
      <w:r w:rsidRPr="00090F2C">
        <w:rPr>
          <w:i/>
        </w:rPr>
        <w:t>Dóchas</w:t>
      </w:r>
      <w:proofErr w:type="spellEnd"/>
      <w:r w:rsidRPr="00090F2C">
        <w:rPr>
          <w:i/>
        </w:rPr>
        <w:t xml:space="preserve"> Centre</w:t>
      </w:r>
      <w:r>
        <w:t>, Chapter 2, P</w:t>
      </w:r>
      <w:r w:rsidRPr="00090F2C">
        <w:t>ara</w:t>
      </w:r>
      <w:r>
        <w:t>graph</w:t>
      </w:r>
      <w:r w:rsidRPr="00090F2C">
        <w:t xml:space="preserve"> 2.9</w:t>
      </w:r>
    </w:p>
  </w:footnote>
  <w:footnote w:id="7">
    <w:p w14:paraId="19C3A857" w14:textId="77777777" w:rsidR="00D572BB" w:rsidRDefault="00D572BB" w:rsidP="000661B2">
      <w:pPr>
        <w:pStyle w:val="FootnoteText"/>
      </w:pPr>
      <w:r>
        <w:rPr>
          <w:rStyle w:val="FootnoteReference"/>
        </w:rPr>
        <w:footnoteRef/>
      </w:r>
      <w:r>
        <w:t xml:space="preserve"> </w:t>
      </w:r>
      <w:r>
        <w:t xml:space="preserve">Irish Prison Service, </w:t>
      </w:r>
      <w:r>
        <w:rPr>
          <w:i/>
        </w:rPr>
        <w:t>Irish Prison Service Annual Reports 2007-2014</w:t>
      </w:r>
      <w:r>
        <w:t xml:space="preserve">, available online here </w:t>
      </w:r>
      <w:r w:rsidRPr="001C3FB4">
        <w:t>http://www.irishprisons.ie/images/annualstats/age_gender_2007_2014.pdf</w:t>
      </w:r>
    </w:p>
  </w:footnote>
  <w:footnote w:id="8">
    <w:p w14:paraId="39D8DFBD" w14:textId="77777777" w:rsidR="00D572BB" w:rsidRDefault="00D572BB" w:rsidP="003A3E7B">
      <w:pPr>
        <w:pStyle w:val="FootnoteText"/>
        <w:jc w:val="both"/>
      </w:pPr>
      <w:r>
        <w:rPr>
          <w:rStyle w:val="FootnoteReference"/>
        </w:rPr>
        <w:footnoteRef/>
      </w:r>
      <w:r>
        <w:t xml:space="preserve"> </w:t>
      </w:r>
      <w:r>
        <w:t xml:space="preserve">H. Kennedy, S. Monks, K. Curtain, B. Wright, S. </w:t>
      </w:r>
      <w:proofErr w:type="spellStart"/>
      <w:r>
        <w:t>Linehan</w:t>
      </w:r>
      <w:proofErr w:type="spellEnd"/>
      <w:r>
        <w:t xml:space="preserve">, D. Duffy, C. </w:t>
      </w:r>
      <w:proofErr w:type="spellStart"/>
      <w:r>
        <w:t>Teljeur</w:t>
      </w:r>
      <w:proofErr w:type="spellEnd"/>
      <w:r>
        <w:t xml:space="preserve">, </w:t>
      </w:r>
      <w:r w:rsidRPr="00DE61A3">
        <w:rPr>
          <w:i/>
        </w:rPr>
        <w:t>Mental health in Irish prisoners: psychiatric morbidity in sentenced, remanded and newly committed prisoners</w:t>
      </w:r>
      <w:r>
        <w:t xml:space="preserve">, National Forensic Mental Health Service, Dublin, 2005. P. </w:t>
      </w:r>
      <w:proofErr w:type="spellStart"/>
      <w:r>
        <w:t>O’Maheny</w:t>
      </w:r>
      <w:proofErr w:type="spellEnd"/>
      <w:r>
        <w:t xml:space="preserve">, </w:t>
      </w:r>
      <w:r>
        <w:rPr>
          <w:i/>
        </w:rPr>
        <w:t xml:space="preserve">Key Issues for drugs policy in Irish prisons, </w:t>
      </w:r>
      <w:r>
        <w:t xml:space="preserve">Drug Policy Action Group, Dublin, 2008. P. </w:t>
      </w:r>
      <w:proofErr w:type="spellStart"/>
      <w:r>
        <w:t>Carmody</w:t>
      </w:r>
      <w:proofErr w:type="spellEnd"/>
      <w:r>
        <w:t xml:space="preserve"> and M. McElroy, </w:t>
      </w:r>
      <w:r>
        <w:rPr>
          <w:i/>
        </w:rPr>
        <w:t xml:space="preserve">A study of Irish female prisoners, </w:t>
      </w:r>
      <w:r>
        <w:t xml:space="preserve">The Stationery Office, Dublin, 1996. IPRT, </w:t>
      </w:r>
      <w:r>
        <w:rPr>
          <w:i/>
        </w:rPr>
        <w:t>The Vicious Circle of Social Exclusion and Crime: Ireland’s Disproportionate Punishment of the Poor</w:t>
      </w:r>
      <w:r>
        <w:t xml:space="preserve">, 2012. M. Seymour and L. Costello, </w:t>
      </w:r>
      <w:r>
        <w:rPr>
          <w:i/>
        </w:rPr>
        <w:t xml:space="preserve">A Study of the Number, Profile and Progression Routes of Homeless Persons before the Courts and in Custody, </w:t>
      </w:r>
      <w:r>
        <w:t xml:space="preserve">Department of Justice, Equality and Law Reform, Dublin, 2005. P. </w:t>
      </w:r>
      <w:proofErr w:type="spellStart"/>
      <w:r>
        <w:t>Maycock</w:t>
      </w:r>
      <w:proofErr w:type="spellEnd"/>
      <w:r>
        <w:t xml:space="preserve"> and S. Sheridan, </w:t>
      </w:r>
      <w:r>
        <w:rPr>
          <w:i/>
        </w:rPr>
        <w:t xml:space="preserve">Women’s ‘Journeys’ into Homelessness: Key Findings from a Biographical Study of Homeless Women in Ireland, </w:t>
      </w:r>
      <w:r>
        <w:t xml:space="preserve">Trinity College Dublin, 2012. </w:t>
      </w:r>
    </w:p>
  </w:footnote>
  <w:footnote w:id="9">
    <w:p w14:paraId="500C28AE" w14:textId="77777777" w:rsidR="00D572BB" w:rsidRPr="00AD1718" w:rsidRDefault="00D572BB" w:rsidP="003A3E7B">
      <w:pPr>
        <w:pStyle w:val="FootnoteText"/>
      </w:pPr>
      <w:r>
        <w:rPr>
          <w:rStyle w:val="FootnoteReference"/>
        </w:rPr>
        <w:footnoteRef/>
      </w:r>
      <w:r>
        <w:t xml:space="preserve"> </w:t>
      </w:r>
      <w:r>
        <w:t xml:space="preserve">IPRT, </w:t>
      </w:r>
      <w:r>
        <w:rPr>
          <w:i/>
        </w:rPr>
        <w:t xml:space="preserve">Travellers in the Irish Prison System: A Qualitative Study, </w:t>
      </w:r>
      <w:r>
        <w:t xml:space="preserve">2014, p. 42. </w:t>
      </w:r>
    </w:p>
  </w:footnote>
  <w:footnote w:id="10">
    <w:p w14:paraId="198CAC2F" w14:textId="77777777" w:rsidR="00D572BB" w:rsidRDefault="00D572BB" w:rsidP="003A3E7B">
      <w:pPr>
        <w:pStyle w:val="FootnoteText"/>
      </w:pPr>
      <w:r>
        <w:rPr>
          <w:rStyle w:val="FootnoteReference"/>
        </w:rPr>
        <w:footnoteRef/>
      </w:r>
      <w:r>
        <w:t xml:space="preserve"> </w:t>
      </w:r>
      <w:r>
        <w:t>Ibid, p. 65.</w:t>
      </w:r>
    </w:p>
  </w:footnote>
  <w:footnote w:id="11">
    <w:p w14:paraId="44B63FCC" w14:textId="77777777" w:rsidR="00D572BB" w:rsidRPr="00F76643" w:rsidRDefault="00D572BB" w:rsidP="003A3E7B">
      <w:pPr>
        <w:pStyle w:val="FootnoteText"/>
      </w:pPr>
      <w:r>
        <w:rPr>
          <w:rStyle w:val="FootnoteReference"/>
        </w:rPr>
        <w:footnoteRef/>
      </w:r>
      <w:r>
        <w:t xml:space="preserve"> </w:t>
      </w:r>
      <w:r>
        <w:t xml:space="preserve">IPRT, </w:t>
      </w:r>
      <w:r>
        <w:rPr>
          <w:i/>
        </w:rPr>
        <w:t xml:space="preserve">The Practice of Pre-Trial Detention in Ireland: Research Report, </w:t>
      </w:r>
      <w:r>
        <w:t>2016, pp. 47-48. Report of the Strategic Review Group on Penal Policy, July 2014, p. 65.</w:t>
      </w:r>
    </w:p>
  </w:footnote>
  <w:footnote w:id="12">
    <w:p w14:paraId="673E87FE" w14:textId="77777777" w:rsidR="00D572BB" w:rsidRPr="00696C1D" w:rsidRDefault="00D572BB" w:rsidP="000661B2">
      <w:pPr>
        <w:pStyle w:val="FootnoteText"/>
      </w:pPr>
      <w:r>
        <w:rPr>
          <w:rStyle w:val="FootnoteReference"/>
        </w:rPr>
        <w:footnoteRef/>
      </w:r>
      <w:r>
        <w:t xml:space="preserve"> </w:t>
      </w:r>
      <w:proofErr w:type="spellStart"/>
      <w:r>
        <w:t>Dóchas</w:t>
      </w:r>
      <w:proofErr w:type="spellEnd"/>
      <w:r>
        <w:t xml:space="preserve"> Visiting Committee, </w:t>
      </w:r>
      <w:proofErr w:type="spellStart"/>
      <w:r>
        <w:rPr>
          <w:i/>
        </w:rPr>
        <w:t>Dóchas</w:t>
      </w:r>
      <w:proofErr w:type="spellEnd"/>
      <w:r>
        <w:rPr>
          <w:i/>
        </w:rPr>
        <w:t xml:space="preserve"> Visiting Committee Annual Report 2015, </w:t>
      </w:r>
      <w:r>
        <w:t xml:space="preserve">Dublin. Irish Prison and Probation Services, </w:t>
      </w:r>
      <w:r>
        <w:rPr>
          <w:i/>
        </w:rPr>
        <w:t xml:space="preserve">Joint Probation Service – Irish Prison Service Strategy 2014-2016: An Effective Response to Women Who Offend, </w:t>
      </w:r>
      <w:r>
        <w:t xml:space="preserve">p. 2. </w:t>
      </w:r>
    </w:p>
  </w:footnote>
  <w:footnote w:id="13">
    <w:p w14:paraId="4CD374A5" w14:textId="77777777" w:rsidR="00D572BB" w:rsidRPr="000B6738" w:rsidRDefault="00D572BB" w:rsidP="000661B2">
      <w:pPr>
        <w:pStyle w:val="FootnoteText"/>
      </w:pPr>
      <w:r>
        <w:rPr>
          <w:rStyle w:val="FootnoteReference"/>
        </w:rPr>
        <w:footnoteRef/>
      </w:r>
      <w:r>
        <w:t xml:space="preserve"> </w:t>
      </w:r>
      <w:r>
        <w:t xml:space="preserve">Inspector of Prisons, </w:t>
      </w:r>
      <w:r>
        <w:rPr>
          <w:i/>
        </w:rPr>
        <w:t xml:space="preserve">Inspector of Prisons Interim Report on the </w:t>
      </w:r>
      <w:proofErr w:type="spellStart"/>
      <w:r>
        <w:rPr>
          <w:i/>
        </w:rPr>
        <w:t>Dóchas</w:t>
      </w:r>
      <w:proofErr w:type="spellEnd"/>
      <w:r>
        <w:rPr>
          <w:i/>
        </w:rPr>
        <w:t xml:space="preserve"> Centre, </w:t>
      </w:r>
      <w:r>
        <w:t>2012, Ch. 2, Paragraph 2.9</w:t>
      </w:r>
    </w:p>
  </w:footnote>
  <w:footnote w:id="14">
    <w:p w14:paraId="6714C871" w14:textId="14454A8E" w:rsidR="00D572BB" w:rsidRPr="00A870FA" w:rsidRDefault="00D572BB">
      <w:pPr>
        <w:pStyle w:val="FootnoteText"/>
      </w:pPr>
      <w:r>
        <w:rPr>
          <w:rStyle w:val="FootnoteReference"/>
        </w:rPr>
        <w:footnoteRef/>
      </w:r>
      <w:r>
        <w:t xml:space="preserve"> </w:t>
      </w:r>
      <w:r>
        <w:t xml:space="preserve">Baroness J. </w:t>
      </w:r>
      <w:proofErr w:type="spellStart"/>
      <w:r>
        <w:t>Corston</w:t>
      </w:r>
      <w:proofErr w:type="spellEnd"/>
      <w:r>
        <w:t xml:space="preserve">, </w:t>
      </w:r>
      <w:r>
        <w:rPr>
          <w:i/>
        </w:rPr>
        <w:t xml:space="preserve">The </w:t>
      </w:r>
      <w:proofErr w:type="spellStart"/>
      <w:r>
        <w:rPr>
          <w:i/>
        </w:rPr>
        <w:t>Corston</w:t>
      </w:r>
      <w:proofErr w:type="spellEnd"/>
      <w:r>
        <w:rPr>
          <w:i/>
        </w:rPr>
        <w:t xml:space="preserve"> Report, </w:t>
      </w:r>
      <w:r>
        <w:t xml:space="preserve">London, 2007. </w:t>
      </w:r>
    </w:p>
  </w:footnote>
  <w:footnote w:id="15">
    <w:p w14:paraId="39140AF9" w14:textId="43680098" w:rsidR="00D572BB" w:rsidRDefault="00D572BB">
      <w:pPr>
        <w:pStyle w:val="FootnoteText"/>
      </w:pPr>
      <w:r>
        <w:rPr>
          <w:rStyle w:val="FootnoteReference"/>
        </w:rPr>
        <w:footnoteRef/>
      </w:r>
      <w:r>
        <w:t xml:space="preserve"> </w:t>
      </w:r>
      <w:r w:rsidRPr="00A870FA">
        <w:t xml:space="preserve">Emma J. Palmer &amp; Clive R. </w:t>
      </w:r>
      <w:proofErr w:type="spellStart"/>
      <w:r w:rsidRPr="00A870FA">
        <w:t>Hollin</w:t>
      </w:r>
      <w:proofErr w:type="spellEnd"/>
      <w:r w:rsidRPr="00A870FA">
        <w:t>, ‘</w:t>
      </w:r>
      <w:proofErr w:type="spellStart"/>
      <w:r w:rsidRPr="00A870FA">
        <w:t>Criminogenic</w:t>
      </w:r>
      <w:proofErr w:type="spellEnd"/>
      <w:r w:rsidRPr="00A870FA">
        <w:t xml:space="preserve"> need and women offenders: a critique of the literature’, </w:t>
      </w:r>
      <w:r w:rsidRPr="00A870FA">
        <w:rPr>
          <w:i/>
        </w:rPr>
        <w:t>Legal and Criminological Psychology</w:t>
      </w:r>
      <w:r w:rsidRPr="00A870FA">
        <w:t xml:space="preserve">, Vol. 11, Issue 2, 2006, and Laura </w:t>
      </w:r>
      <w:proofErr w:type="spellStart"/>
      <w:r w:rsidRPr="00A870FA">
        <w:t>d’Cruz</w:t>
      </w:r>
      <w:proofErr w:type="spellEnd"/>
      <w:r w:rsidRPr="00A870FA">
        <w:t xml:space="preserve">, ‘Implementing an Offender Personality Disorder Strategy for Women’, </w:t>
      </w:r>
      <w:r w:rsidRPr="00A870FA">
        <w:rPr>
          <w:i/>
        </w:rPr>
        <w:t>Prison Service Journal</w:t>
      </w:r>
      <w:r w:rsidRPr="00A870FA">
        <w:t>, March 2015</w:t>
      </w:r>
    </w:p>
  </w:footnote>
  <w:footnote w:id="16">
    <w:p w14:paraId="128A2071" w14:textId="77777777" w:rsidR="00D572BB" w:rsidRPr="00870829" w:rsidRDefault="00D572BB" w:rsidP="003A3E7B">
      <w:pPr>
        <w:pStyle w:val="FootnoteText"/>
        <w:rPr>
          <w:i/>
        </w:rPr>
      </w:pPr>
      <w:r>
        <w:rPr>
          <w:rStyle w:val="FootnoteReference"/>
        </w:rPr>
        <w:footnoteRef/>
      </w:r>
      <w:r>
        <w:t xml:space="preserve"> </w:t>
      </w:r>
      <w:r>
        <w:t xml:space="preserve">Irish Probation Service, </w:t>
      </w:r>
      <w:r>
        <w:rPr>
          <w:i/>
        </w:rPr>
        <w:t>Probation Service Annual Report 2014.</w:t>
      </w:r>
    </w:p>
  </w:footnote>
  <w:footnote w:id="17">
    <w:p w14:paraId="68BC4ED9" w14:textId="7591E46D" w:rsidR="00D572BB" w:rsidRDefault="00D572BB">
      <w:pPr>
        <w:pStyle w:val="FootnoteText"/>
      </w:pPr>
      <w:r>
        <w:rPr>
          <w:rStyle w:val="FootnoteReference"/>
        </w:rPr>
        <w:footnoteRef/>
      </w:r>
      <w:r w:rsidRPr="004C16AC">
        <w:rPr>
          <w:i/>
        </w:rPr>
        <w:t>United Nations Rules for the Treatment of Women Prisoners and Non-Custodial Measures for Women Offenders</w:t>
      </w:r>
      <w:r w:rsidRPr="004C16AC">
        <w:t xml:space="preserve"> [Bangkok Rules],</w:t>
      </w:r>
      <w:r>
        <w:t xml:space="preserve"> 2010, Rule 41 (a). </w:t>
      </w:r>
    </w:p>
  </w:footnote>
  <w:footnote w:id="18">
    <w:p w14:paraId="6CD39375" w14:textId="5B9EACFC" w:rsidR="00D572BB" w:rsidRPr="00F62426" w:rsidRDefault="00D572BB">
      <w:pPr>
        <w:pStyle w:val="FootnoteText"/>
        <w:rPr>
          <w:i/>
        </w:rPr>
      </w:pPr>
      <w:r w:rsidRPr="00F62426">
        <w:rPr>
          <w:rStyle w:val="FootnoteReference"/>
        </w:rPr>
        <w:footnoteRef/>
      </w:r>
      <w:r w:rsidRPr="00F62426">
        <w:t xml:space="preserve"> </w:t>
      </w:r>
      <w:r w:rsidRPr="00F62426">
        <w:t xml:space="preserve">Irish Prison Service, </w:t>
      </w:r>
      <w:r w:rsidRPr="00F62426">
        <w:rPr>
          <w:i/>
        </w:rPr>
        <w:t>Daily Prison Population on Thursday 1</w:t>
      </w:r>
      <w:r w:rsidRPr="00F62426">
        <w:rPr>
          <w:i/>
          <w:vertAlign w:val="superscript"/>
        </w:rPr>
        <w:t>st</w:t>
      </w:r>
      <w:r w:rsidRPr="00F62426">
        <w:rPr>
          <w:i/>
        </w:rPr>
        <w:t xml:space="preserve"> September 2016. </w:t>
      </w:r>
    </w:p>
  </w:footnote>
  <w:footnote w:id="19">
    <w:p w14:paraId="1782D129" w14:textId="6D1FFFC0" w:rsidR="00D572BB" w:rsidRPr="004029E1" w:rsidRDefault="00D572BB">
      <w:pPr>
        <w:pStyle w:val="FootnoteText"/>
      </w:pPr>
      <w:r>
        <w:rPr>
          <w:rStyle w:val="FootnoteReference"/>
        </w:rPr>
        <w:footnoteRef/>
      </w:r>
      <w:r>
        <w:t xml:space="preserve"> </w:t>
      </w:r>
      <w:r>
        <w:t xml:space="preserve">Cross-agency Review Group, </w:t>
      </w:r>
      <w:r>
        <w:rPr>
          <w:i/>
        </w:rPr>
        <w:t xml:space="preserve">Strategic Review of Penal Policy, </w:t>
      </w:r>
      <w:r>
        <w:t xml:space="preserve">Dept. of Justice and Equality, Dublin, 2014. </w:t>
      </w:r>
    </w:p>
  </w:footnote>
  <w:footnote w:id="20">
    <w:p w14:paraId="404DEF56" w14:textId="77777777" w:rsidR="00D572BB" w:rsidRPr="004029E1" w:rsidRDefault="00D572BB" w:rsidP="007168A8">
      <w:pPr>
        <w:pStyle w:val="FootnoteText"/>
        <w:rPr>
          <w:i/>
        </w:rPr>
      </w:pPr>
      <w:r>
        <w:rPr>
          <w:rStyle w:val="FootnoteReference"/>
        </w:rPr>
        <w:footnoteRef/>
      </w:r>
      <w:r>
        <w:t xml:space="preserve"> </w:t>
      </w:r>
      <w:proofErr w:type="spellStart"/>
      <w:r>
        <w:t>Dóchas</w:t>
      </w:r>
      <w:proofErr w:type="spellEnd"/>
      <w:r>
        <w:t xml:space="preserve"> Visiting Committee, </w:t>
      </w:r>
      <w:r>
        <w:rPr>
          <w:i/>
        </w:rPr>
        <w:t xml:space="preserve">Annual Report 2015. </w:t>
      </w:r>
    </w:p>
  </w:footnote>
  <w:footnote w:id="21">
    <w:p w14:paraId="2CED3784" w14:textId="77777777" w:rsidR="00D572BB" w:rsidRPr="00F62426" w:rsidRDefault="00D572BB" w:rsidP="007168A8">
      <w:pPr>
        <w:pStyle w:val="FootnoteText"/>
      </w:pPr>
      <w:r w:rsidRPr="00F62426">
        <w:rPr>
          <w:rStyle w:val="FootnoteReference"/>
        </w:rPr>
        <w:footnoteRef/>
      </w:r>
      <w:r w:rsidRPr="00F62426">
        <w:t xml:space="preserve"> </w:t>
      </w:r>
      <w:r w:rsidRPr="00F62426">
        <w:t xml:space="preserve">Inspector of Prisons Judge Michael O’Reilly, </w:t>
      </w:r>
      <w:r w:rsidRPr="00F62426">
        <w:rPr>
          <w:i/>
        </w:rPr>
        <w:t>Interim Report</w:t>
      </w:r>
      <w:r w:rsidRPr="00F62426">
        <w:t xml:space="preserve">, Dublin, 2013. </w:t>
      </w:r>
      <w:proofErr w:type="spellStart"/>
      <w:r w:rsidRPr="00F62426">
        <w:t>Dóchas</w:t>
      </w:r>
      <w:proofErr w:type="spellEnd"/>
      <w:r w:rsidRPr="00F62426">
        <w:t xml:space="preserve"> Visiting Committee, </w:t>
      </w:r>
      <w:r w:rsidRPr="00F62426">
        <w:rPr>
          <w:i/>
        </w:rPr>
        <w:t xml:space="preserve">2015 </w:t>
      </w:r>
      <w:proofErr w:type="spellStart"/>
      <w:r w:rsidRPr="00F62426">
        <w:rPr>
          <w:i/>
        </w:rPr>
        <w:t>Dóchas</w:t>
      </w:r>
      <w:proofErr w:type="spellEnd"/>
      <w:r w:rsidRPr="00F62426">
        <w:rPr>
          <w:i/>
        </w:rPr>
        <w:t xml:space="preserve"> Visiting Committee Annual Report, </w:t>
      </w:r>
      <w:r w:rsidRPr="00F62426">
        <w:t>Dublin, 2015.</w:t>
      </w:r>
    </w:p>
  </w:footnote>
  <w:footnote w:id="22">
    <w:p w14:paraId="43BD7DD8" w14:textId="77777777" w:rsidR="00D572BB" w:rsidRPr="00F62426" w:rsidRDefault="00D572BB" w:rsidP="007168A8">
      <w:pPr>
        <w:pStyle w:val="FootnoteText"/>
      </w:pPr>
      <w:r w:rsidRPr="00F62426">
        <w:rPr>
          <w:rStyle w:val="FootnoteReference"/>
        </w:rPr>
        <w:footnoteRef/>
      </w:r>
      <w:r w:rsidRPr="00F62426">
        <w:t xml:space="preserve"> </w:t>
      </w:r>
      <w:r w:rsidRPr="00F62426">
        <w:t xml:space="preserve">Irish Prison Service’s </w:t>
      </w:r>
      <w:r w:rsidRPr="00F62426">
        <w:rPr>
          <w:i/>
        </w:rPr>
        <w:t>Capital Strategy 2016-2021</w:t>
      </w:r>
    </w:p>
  </w:footnote>
  <w:footnote w:id="23">
    <w:p w14:paraId="2377893D" w14:textId="77777777" w:rsidR="00D572BB" w:rsidRDefault="00D572BB" w:rsidP="007168A8">
      <w:pPr>
        <w:pStyle w:val="FootnoteText"/>
      </w:pPr>
      <w:r w:rsidRPr="00F62426">
        <w:rPr>
          <w:rStyle w:val="FootnoteReference"/>
        </w:rPr>
        <w:footnoteRef/>
      </w:r>
      <w:r w:rsidRPr="00F62426">
        <w:t xml:space="preserve"> </w:t>
      </w:r>
      <w:r w:rsidRPr="00F62426">
        <w:t xml:space="preserve">Irish Prison Service, </w:t>
      </w:r>
      <w:r w:rsidRPr="00F62426">
        <w:rPr>
          <w:i/>
        </w:rPr>
        <w:t xml:space="preserve">Joint Probation Service – Irish Prison Service Strategy, 2014-2016: An Effective Response to Women Who Offend, </w:t>
      </w:r>
      <w:r w:rsidRPr="00F62426">
        <w:t>Dublin, 2014.</w:t>
      </w:r>
    </w:p>
  </w:footnote>
  <w:footnote w:id="24">
    <w:p w14:paraId="0A20AEEB" w14:textId="77777777" w:rsidR="00D572BB" w:rsidRPr="00B77B14" w:rsidRDefault="00D572BB" w:rsidP="007168A8">
      <w:pPr>
        <w:pStyle w:val="FootnoteText"/>
        <w:rPr>
          <w:i/>
        </w:rPr>
      </w:pPr>
      <w:r>
        <w:rPr>
          <w:rStyle w:val="FootnoteReference"/>
        </w:rPr>
        <w:footnoteRef/>
      </w:r>
      <w:r>
        <w:t xml:space="preserve"> </w:t>
      </w:r>
      <w:proofErr w:type="spellStart"/>
      <w:r>
        <w:t>Dóchas</w:t>
      </w:r>
      <w:proofErr w:type="spellEnd"/>
      <w:r>
        <w:t xml:space="preserve"> Visiting Committee, </w:t>
      </w:r>
      <w:r>
        <w:rPr>
          <w:i/>
        </w:rPr>
        <w:t>Annual Report 2015.</w:t>
      </w:r>
    </w:p>
  </w:footnote>
  <w:footnote w:id="25">
    <w:p w14:paraId="22E31ED3" w14:textId="77777777" w:rsidR="00D572BB" w:rsidRDefault="00D572BB" w:rsidP="007168A8">
      <w:pPr>
        <w:pStyle w:val="FootnoteText"/>
      </w:pPr>
      <w:r>
        <w:rPr>
          <w:rStyle w:val="FootnoteReference"/>
        </w:rPr>
        <w:footnoteRef/>
      </w:r>
      <w:r>
        <w:t xml:space="preserve"> </w:t>
      </w:r>
      <w:r>
        <w:t xml:space="preserve">Ibid. </w:t>
      </w:r>
    </w:p>
  </w:footnote>
  <w:footnote w:id="26">
    <w:p w14:paraId="25CA56A6" w14:textId="77777777" w:rsidR="00D572BB" w:rsidRPr="00067C8D" w:rsidRDefault="00D572BB" w:rsidP="00CE4C35">
      <w:pPr>
        <w:pStyle w:val="FootnoteText"/>
      </w:pPr>
      <w:r>
        <w:rPr>
          <w:rStyle w:val="FootnoteReference"/>
        </w:rPr>
        <w:footnoteRef/>
      </w:r>
      <w:r>
        <w:t xml:space="preserve"> </w:t>
      </w:r>
      <w:r>
        <w:t xml:space="preserve">IPRT, </w:t>
      </w:r>
      <w:r>
        <w:rPr>
          <w:i/>
        </w:rPr>
        <w:t xml:space="preserve">Travellers in the Irish Prison System, </w:t>
      </w:r>
      <w:r>
        <w:t xml:space="preserve">p. 28. </w:t>
      </w:r>
    </w:p>
  </w:footnote>
  <w:footnote w:id="27">
    <w:p w14:paraId="5E6AE14A" w14:textId="77777777" w:rsidR="00D572BB" w:rsidRDefault="00D572BB" w:rsidP="00CE4C35">
      <w:pPr>
        <w:pStyle w:val="FootnoteText"/>
      </w:pPr>
      <w:r>
        <w:rPr>
          <w:rStyle w:val="FootnoteReference"/>
        </w:rPr>
        <w:footnoteRef/>
      </w:r>
      <w:r>
        <w:t xml:space="preserve"> </w:t>
      </w:r>
      <w:r>
        <w:t xml:space="preserve">Ibid. </w:t>
      </w:r>
    </w:p>
  </w:footnote>
  <w:footnote w:id="28">
    <w:p w14:paraId="4551BC8F" w14:textId="77777777" w:rsidR="00D572BB" w:rsidRDefault="00D572BB" w:rsidP="00CE4C35">
      <w:pPr>
        <w:pStyle w:val="FootnoteText"/>
      </w:pPr>
      <w:r>
        <w:rPr>
          <w:rStyle w:val="FootnoteReference"/>
        </w:rPr>
        <w:footnoteRef/>
      </w:r>
      <w:r>
        <w:t xml:space="preserve"> </w:t>
      </w:r>
      <w:r>
        <w:t xml:space="preserve">Ibid, p. 32. </w:t>
      </w:r>
    </w:p>
  </w:footnote>
  <w:footnote w:id="29">
    <w:p w14:paraId="6BBB8A45" w14:textId="77777777" w:rsidR="00D572BB" w:rsidRPr="00067C8D" w:rsidRDefault="00D572BB" w:rsidP="00CE4C35">
      <w:pPr>
        <w:pStyle w:val="FootnoteText"/>
      </w:pPr>
      <w:r>
        <w:rPr>
          <w:rStyle w:val="FootnoteReference"/>
        </w:rPr>
        <w:footnoteRef/>
      </w:r>
      <w:r>
        <w:t xml:space="preserve"> </w:t>
      </w:r>
      <w:proofErr w:type="spellStart"/>
      <w:r>
        <w:t>Dóchas</w:t>
      </w:r>
      <w:proofErr w:type="spellEnd"/>
      <w:r>
        <w:t xml:space="preserve"> Visiting Committee, </w:t>
      </w:r>
      <w:r>
        <w:rPr>
          <w:i/>
        </w:rPr>
        <w:t>Annual Report</w:t>
      </w:r>
      <w:r>
        <w:t xml:space="preserve">, 2014. </w:t>
      </w:r>
    </w:p>
  </w:footnote>
  <w:footnote w:id="30">
    <w:p w14:paraId="14B46E7B" w14:textId="77777777" w:rsidR="00D572BB" w:rsidRDefault="00D572BB" w:rsidP="00CE4C35">
      <w:pPr>
        <w:pStyle w:val="FootnoteText"/>
      </w:pPr>
      <w:r>
        <w:rPr>
          <w:rStyle w:val="FootnoteReference"/>
        </w:rPr>
        <w:footnoteRef/>
      </w:r>
      <w:r>
        <w:t xml:space="preserve"> </w:t>
      </w:r>
      <w:r>
        <w:t xml:space="preserve">Bangkok Rules, 2010. </w:t>
      </w:r>
    </w:p>
  </w:footnote>
  <w:footnote w:id="31">
    <w:p w14:paraId="20B49137" w14:textId="555D5B7B" w:rsidR="00D572BB" w:rsidRDefault="00D572BB">
      <w:pPr>
        <w:pStyle w:val="FootnoteText"/>
      </w:pPr>
      <w:r>
        <w:rPr>
          <w:rStyle w:val="FootnoteReference"/>
        </w:rPr>
        <w:footnoteRef/>
      </w:r>
      <w:r>
        <w:t xml:space="preserve"> </w:t>
      </w:r>
      <w:hyperlink r:id="rId2" w:history="1">
        <w:r w:rsidRPr="00716BE4">
          <w:rPr>
            <w:rStyle w:val="Hyperlink"/>
          </w:rPr>
          <w:t>http://www.irishexaminer.com/ireland/location-of-ex-prisoner-facility-sparks-concern-392306.html</w:t>
        </w:r>
      </w:hyperlink>
      <w:r>
        <w:t xml:space="preserve"> [last accessed 13 September 2016]</w:t>
      </w:r>
    </w:p>
  </w:footnote>
  <w:footnote w:id="32">
    <w:p w14:paraId="0F6C4021" w14:textId="5C682F2A" w:rsidR="00D572BB" w:rsidRDefault="00D572BB">
      <w:pPr>
        <w:pStyle w:val="FootnoteText"/>
      </w:pPr>
      <w:r>
        <w:rPr>
          <w:rStyle w:val="FootnoteReference"/>
        </w:rPr>
        <w:footnoteRef/>
      </w:r>
      <w:r>
        <w:t xml:space="preserve"> IPRT, ‘</w:t>
      </w:r>
      <w:r>
        <w:rPr>
          <w:i/>
        </w:rPr>
        <w:t xml:space="preserve">It’s like stepping on a landmine...’: Reintegration of Prisoners in Ireland, </w:t>
      </w:r>
      <w:r>
        <w:t xml:space="preserve">2010, </w:t>
      </w:r>
      <w:r w:rsidRPr="0015647B">
        <w:t>accessible online at www.iprt.ie/contents/1685</w:t>
      </w:r>
    </w:p>
  </w:footnote>
  <w:footnote w:id="33">
    <w:p w14:paraId="0F81664B" w14:textId="5A8E90D4" w:rsidR="00D572BB" w:rsidRDefault="00D572BB">
      <w:pPr>
        <w:pStyle w:val="FootnoteText"/>
      </w:pPr>
      <w:r>
        <w:rPr>
          <w:rStyle w:val="FootnoteReference"/>
        </w:rPr>
        <w:footnoteRef/>
      </w:r>
      <w:r>
        <w:t xml:space="preserve"> IPRT, </w:t>
      </w:r>
      <w:r>
        <w:rPr>
          <w:i/>
        </w:rPr>
        <w:t xml:space="preserve">Travellers in the Irish Prison System: A Qualitative Study, </w:t>
      </w:r>
      <w:r>
        <w:t>2014, p. 42.</w:t>
      </w:r>
    </w:p>
  </w:footnote>
  <w:footnote w:id="34">
    <w:p w14:paraId="0E978CC0" w14:textId="7E82616E" w:rsidR="00D572BB" w:rsidRPr="00F11956" w:rsidRDefault="00D572BB">
      <w:pPr>
        <w:pStyle w:val="FootnoteText"/>
      </w:pPr>
      <w:r>
        <w:rPr>
          <w:rStyle w:val="FootnoteReference"/>
        </w:rPr>
        <w:footnoteRef/>
      </w:r>
      <w:r>
        <w:t xml:space="preserve"> </w:t>
      </w:r>
      <w:r>
        <w:t xml:space="preserve">IPRT, </w:t>
      </w:r>
      <w:r>
        <w:rPr>
          <w:i/>
        </w:rPr>
        <w:t xml:space="preserve">‘It’s like stepping on a landmine…’: Reintegration of Prisoners in Ireland, </w:t>
      </w:r>
      <w:r>
        <w:t xml:space="preserve">2010. </w:t>
      </w:r>
    </w:p>
  </w:footnote>
  <w:footnote w:id="35">
    <w:p w14:paraId="0E8B8348" w14:textId="25C541FB" w:rsidR="00D572BB" w:rsidRDefault="00D572BB">
      <w:pPr>
        <w:pStyle w:val="FootnoteText"/>
      </w:pPr>
      <w:r>
        <w:rPr>
          <w:rStyle w:val="FootnoteReference"/>
        </w:rPr>
        <w:footnoteRef/>
      </w:r>
      <w:r>
        <w:t xml:space="preserve"> </w:t>
      </w:r>
      <w:r w:rsidRPr="004C16AC">
        <w:rPr>
          <w:i/>
        </w:rPr>
        <w:t>United Nations Rules for the Treatment of Women Prisoners and Non-Custodial Measures for Women Offenders</w:t>
      </w:r>
      <w:r w:rsidRPr="004C16AC">
        <w:t xml:space="preserve"> [Bangkok Rules],</w:t>
      </w:r>
      <w:r>
        <w:t xml:space="preserve"> 2010, Rule 45. </w:t>
      </w:r>
    </w:p>
  </w:footnote>
  <w:footnote w:id="36">
    <w:p w14:paraId="1EA504A5" w14:textId="5FE64B44" w:rsidR="00D572BB" w:rsidRPr="00F11956" w:rsidRDefault="00D572BB">
      <w:pPr>
        <w:pStyle w:val="FootnoteText"/>
      </w:pPr>
      <w:r>
        <w:rPr>
          <w:rStyle w:val="FootnoteReference"/>
        </w:rPr>
        <w:footnoteRef/>
      </w:r>
      <w:r>
        <w:t xml:space="preserve"> Irish Prison Service, </w:t>
      </w:r>
      <w:r>
        <w:rPr>
          <w:i/>
        </w:rPr>
        <w:t xml:space="preserve">Strategic Plan 2016-2018, </w:t>
      </w:r>
      <w:r>
        <w:t xml:space="preserve">Dublin, 2016. </w:t>
      </w:r>
    </w:p>
  </w:footnote>
  <w:footnote w:id="37">
    <w:p w14:paraId="6891E4B8" w14:textId="77777777" w:rsidR="00D572BB" w:rsidRDefault="00D572BB" w:rsidP="00EF2073">
      <w:pPr>
        <w:pStyle w:val="FootnoteText"/>
      </w:pPr>
      <w:r>
        <w:rPr>
          <w:rStyle w:val="FootnoteReference"/>
        </w:rPr>
        <w:footnoteRef/>
      </w:r>
      <w:r>
        <w:t xml:space="preserve"> </w:t>
      </w:r>
      <w:r w:rsidRPr="00C52448">
        <w:t>Travellers constitute a small indigenous minority ethnic group in Ireland with a shared history and a distinct cultural identity, customs and traditions which distinguishes them from the majority population. The Taskforce on the Traveller Community (1995) suggested that visible markers of Traveller culture include ‘Traveller nomadism, the importance of the extended family, the Traveller language and the organisation of the Traveller economy…’ Data from the 2011 census indicates that there are 29,495 Travellers living in Ireland. See: http://cso.ie/en/media/csoie/census/documents/census2011profile7/Profile,7,Education,Ethnicity,and,Irish,Traveller,entire,doc.pdf</w:t>
      </w:r>
    </w:p>
  </w:footnote>
  <w:footnote w:id="38">
    <w:p w14:paraId="400058BC" w14:textId="77777777" w:rsidR="00D572BB" w:rsidRDefault="00D572BB" w:rsidP="00EF2073">
      <w:pPr>
        <w:pStyle w:val="FootnoteText"/>
      </w:pPr>
      <w:r>
        <w:rPr>
          <w:rStyle w:val="FootnoteReference"/>
        </w:rPr>
        <w:footnoteRef/>
      </w:r>
      <w:r>
        <w:t xml:space="preserve"> </w:t>
      </w:r>
      <w:r w:rsidRPr="00C52448">
        <w:rPr>
          <w:i/>
        </w:rPr>
        <w:t>Al</w:t>
      </w:r>
      <w:r>
        <w:rPr>
          <w:i/>
        </w:rPr>
        <w:t>l Ireland Traveller Health Stud</w:t>
      </w:r>
      <w:r w:rsidRPr="00C52448">
        <w:rPr>
          <w:i/>
        </w:rPr>
        <w:t>y</w:t>
      </w:r>
      <w:r>
        <w:t xml:space="preserve">, 2010. Summary available here, </w:t>
      </w:r>
      <w:r w:rsidRPr="00C52448">
        <w:t>https://www.ucd.ie/t4cms/AITHS_SUMMARY.pdf</w:t>
      </w:r>
    </w:p>
  </w:footnote>
  <w:footnote w:id="39">
    <w:p w14:paraId="685901BB" w14:textId="77777777" w:rsidR="00D572BB" w:rsidRPr="007B45F1" w:rsidRDefault="00D572BB" w:rsidP="00EF2073">
      <w:pPr>
        <w:pStyle w:val="FootnoteText"/>
      </w:pPr>
      <w:r>
        <w:rPr>
          <w:rStyle w:val="FootnoteReference"/>
        </w:rPr>
        <w:footnoteRef/>
      </w:r>
      <w:r>
        <w:t xml:space="preserve"> IPRT, </w:t>
      </w:r>
      <w:r>
        <w:rPr>
          <w:i/>
        </w:rPr>
        <w:t xml:space="preserve">Travellers in the Irish Prison System, </w:t>
      </w:r>
      <w:r>
        <w:t xml:space="preserve">2014, p. 8. </w:t>
      </w:r>
    </w:p>
  </w:footnote>
  <w:footnote w:id="40">
    <w:p w14:paraId="39A4502E" w14:textId="77777777" w:rsidR="00D572BB" w:rsidRDefault="00D572BB" w:rsidP="00EF2073">
      <w:pPr>
        <w:pStyle w:val="FootnoteText"/>
      </w:pPr>
      <w:r>
        <w:rPr>
          <w:rStyle w:val="FootnoteReference"/>
        </w:rPr>
        <w:footnoteRef/>
      </w:r>
      <w:r>
        <w:t xml:space="preserve"> Ibid. </w:t>
      </w:r>
    </w:p>
  </w:footnote>
  <w:footnote w:id="41">
    <w:p w14:paraId="38B02B24" w14:textId="6CDC156D" w:rsidR="00D572BB" w:rsidRPr="00F22182" w:rsidRDefault="00D572BB" w:rsidP="00EF2073">
      <w:pPr>
        <w:pStyle w:val="FootnoteText"/>
      </w:pPr>
      <w:r>
        <w:rPr>
          <w:rStyle w:val="FootnoteReference"/>
        </w:rPr>
        <w:footnoteRef/>
      </w:r>
      <w:r>
        <w:t xml:space="preserve"> Ibid, p. 15. </w:t>
      </w:r>
    </w:p>
  </w:footnote>
  <w:footnote w:id="42">
    <w:p w14:paraId="5973E6D5" w14:textId="77777777" w:rsidR="00D572BB" w:rsidRDefault="00D572BB" w:rsidP="00EF2073">
      <w:pPr>
        <w:pStyle w:val="FootnoteText"/>
      </w:pPr>
      <w:r>
        <w:rPr>
          <w:rStyle w:val="FootnoteReference"/>
        </w:rPr>
        <w:footnoteRef/>
      </w:r>
      <w:r>
        <w:t xml:space="preserve"> Ibid. </w:t>
      </w:r>
    </w:p>
  </w:footnote>
  <w:footnote w:id="43">
    <w:p w14:paraId="6540433E" w14:textId="77777777" w:rsidR="00D572BB" w:rsidRDefault="00D572BB" w:rsidP="00EF2073">
      <w:pPr>
        <w:pStyle w:val="FootnoteText"/>
      </w:pPr>
      <w:r>
        <w:rPr>
          <w:rStyle w:val="FootnoteReference"/>
        </w:rPr>
        <w:footnoteRef/>
      </w:r>
      <w:r>
        <w:t xml:space="preserve"> Ibid, p. 21. </w:t>
      </w:r>
    </w:p>
  </w:footnote>
  <w:footnote w:id="44">
    <w:p w14:paraId="1F978FD1" w14:textId="452E09F0" w:rsidR="00D572BB" w:rsidRPr="00227B55" w:rsidRDefault="00D572BB">
      <w:pPr>
        <w:pStyle w:val="FootnoteText"/>
      </w:pPr>
      <w:r>
        <w:rPr>
          <w:rStyle w:val="FootnoteReference"/>
        </w:rPr>
        <w:footnoteRef/>
      </w:r>
      <w:r>
        <w:t xml:space="preserve"> Irish Prison Service, </w:t>
      </w:r>
      <w:r>
        <w:rPr>
          <w:i/>
        </w:rPr>
        <w:t xml:space="preserve">Strategic Plan 2016, </w:t>
      </w:r>
      <w:r>
        <w:t xml:space="preserve">2016, p. 28. </w:t>
      </w:r>
    </w:p>
  </w:footnote>
  <w:footnote w:id="45">
    <w:p w14:paraId="5AE1608E" w14:textId="77777777" w:rsidR="00D572BB" w:rsidRPr="00A65112" w:rsidRDefault="00D572BB" w:rsidP="00227B55">
      <w:pPr>
        <w:pStyle w:val="FootnoteText"/>
      </w:pPr>
      <w:r>
        <w:rPr>
          <w:rStyle w:val="FootnoteReference"/>
        </w:rPr>
        <w:footnoteRef/>
      </w:r>
      <w:r>
        <w:t xml:space="preserve"> G.R. Brown and E. McDuffie, ‘Health care policies addressing transgender inmates in prison systems in the United States, </w:t>
      </w:r>
      <w:r>
        <w:rPr>
          <w:i/>
        </w:rPr>
        <w:t xml:space="preserve">Journal of Correctional Health Care, </w:t>
      </w:r>
      <w:r>
        <w:t xml:space="preserve">15 (4), pp. 280-291. </w:t>
      </w:r>
    </w:p>
  </w:footnote>
  <w:footnote w:id="46">
    <w:p w14:paraId="13420387" w14:textId="77777777" w:rsidR="00D572BB" w:rsidRPr="00247CED" w:rsidRDefault="00D572BB" w:rsidP="00227B55">
      <w:pPr>
        <w:pStyle w:val="FootnoteText"/>
      </w:pPr>
      <w:r>
        <w:rPr>
          <w:rStyle w:val="FootnoteReference"/>
        </w:rPr>
        <w:footnoteRef/>
      </w:r>
      <w:r>
        <w:t xml:space="preserve"> IPRT, </w:t>
      </w:r>
      <w:r>
        <w:rPr>
          <w:i/>
        </w:rPr>
        <w:t xml:space="preserve">Out on the Inside: The Rights, Experiences and Needs of LGBT People in Prison, </w:t>
      </w:r>
      <w:r>
        <w:t>2016, p. 19. For further quotes, see pages 18, 19 and 30.</w:t>
      </w:r>
    </w:p>
  </w:footnote>
  <w:footnote w:id="47">
    <w:p w14:paraId="57429D56" w14:textId="77777777" w:rsidR="00D572BB" w:rsidRDefault="00D572BB" w:rsidP="00227B55">
      <w:pPr>
        <w:pStyle w:val="FootnoteText"/>
      </w:pPr>
      <w:r>
        <w:rPr>
          <w:rStyle w:val="FootnoteReference"/>
        </w:rPr>
        <w:footnoteRef/>
      </w:r>
      <w:r>
        <w:t xml:space="preserve"> Ibid, p. 29. </w:t>
      </w:r>
    </w:p>
  </w:footnote>
  <w:footnote w:id="48">
    <w:p w14:paraId="319ACDBA" w14:textId="77777777" w:rsidR="00D572BB" w:rsidRDefault="00D572BB" w:rsidP="00227B55">
      <w:pPr>
        <w:pStyle w:val="FootnoteText"/>
      </w:pPr>
      <w:r>
        <w:rPr>
          <w:rStyle w:val="FootnoteReference"/>
        </w:rPr>
        <w:footnoteRef/>
      </w:r>
      <w:r>
        <w:t xml:space="preserve"> Yogyakarta Principles, 2006, Principle 9. All states should ensure ‘that all prisoners participate in decisions regarding the place of detention appropriate to their sexual orientation and their gender identity’ and need to ensure that ‘placement in detention avoids further marginalising persons on the basis of sexual orientation or gender identity or subjecting them to risk of violence, ill-treatment or physical, mental or sexual abuse’. </w:t>
      </w:r>
    </w:p>
  </w:footnote>
  <w:footnote w:id="49">
    <w:p w14:paraId="1AD3181D" w14:textId="77777777" w:rsidR="00D572BB" w:rsidRPr="00996D98" w:rsidRDefault="00D572BB" w:rsidP="00227B55">
      <w:pPr>
        <w:pStyle w:val="FootnoteText"/>
      </w:pPr>
      <w:r>
        <w:rPr>
          <w:rStyle w:val="FootnoteReference"/>
        </w:rPr>
        <w:footnoteRef/>
      </w:r>
      <w:r>
        <w:t xml:space="preserve"> Irish Prison Service, </w:t>
      </w:r>
      <w:r>
        <w:rPr>
          <w:i/>
        </w:rPr>
        <w:t xml:space="preserve">Strategic Plan, </w:t>
      </w:r>
      <w:r>
        <w:t xml:space="preserve">2016. </w:t>
      </w:r>
    </w:p>
  </w:footnote>
  <w:footnote w:id="50">
    <w:p w14:paraId="54552F51" w14:textId="77777777" w:rsidR="00D572BB" w:rsidRDefault="00D572BB" w:rsidP="00743994">
      <w:pPr>
        <w:pStyle w:val="FootnoteText"/>
      </w:pPr>
      <w:r>
        <w:rPr>
          <w:rStyle w:val="FootnoteReference"/>
        </w:rPr>
        <w:footnoteRef/>
      </w:r>
      <w:r>
        <w:t xml:space="preserve"> </w:t>
      </w:r>
      <w:r>
        <w:t xml:space="preserve">Bangkok Rules, 2010. For more see, Mary Rogan, </w:t>
      </w:r>
      <w:hyperlink r:id="rId3" w:history="1">
        <w:r w:rsidRPr="00B27C6A">
          <w:rPr>
            <w:rStyle w:val="Hyperlink"/>
          </w:rPr>
          <w:t>https://perceptionsofpregnancy.com/2014/10/19/pregnancy-childbirth-motherhood-in-prison/</w:t>
        </w:r>
      </w:hyperlink>
      <w:r>
        <w:t xml:space="preserve">. </w:t>
      </w:r>
    </w:p>
  </w:footnote>
  <w:footnote w:id="51">
    <w:p w14:paraId="63051F66" w14:textId="77777777" w:rsidR="00D572BB" w:rsidRDefault="00D572BB" w:rsidP="00743994">
      <w:pPr>
        <w:pStyle w:val="FootnoteText"/>
      </w:pPr>
      <w:r>
        <w:rPr>
          <w:rStyle w:val="FootnoteReference"/>
        </w:rPr>
        <w:footnoteRef/>
      </w:r>
      <w:r>
        <w:t xml:space="preserve"> </w:t>
      </w:r>
      <w:r>
        <w:t xml:space="preserve">CEDAW Convention, Article 12. </w:t>
      </w:r>
    </w:p>
  </w:footnote>
  <w:footnote w:id="52">
    <w:p w14:paraId="7854EC79" w14:textId="77777777" w:rsidR="00D572BB" w:rsidRDefault="00D572BB" w:rsidP="00EE0545">
      <w:pPr>
        <w:pStyle w:val="FootnoteText"/>
      </w:pPr>
      <w:r>
        <w:rPr>
          <w:rStyle w:val="FootnoteReference"/>
        </w:rPr>
        <w:footnoteRef/>
      </w:r>
      <w:r>
        <w:t xml:space="preserve"> </w:t>
      </w:r>
      <w:r>
        <w:t xml:space="preserve">Paragraph 73, </w:t>
      </w:r>
      <w:hyperlink r:id="rId4" w:history="1">
        <w:r w:rsidRPr="00B27C6A">
          <w:rPr>
            <w:rStyle w:val="Hyperlink"/>
          </w:rPr>
          <w:t>http://www.ihrec.ie/download/pdf/ihrec_submission_to_cedaw_loipr_2015.pdf</w:t>
        </w:r>
      </w:hyperlink>
      <w:r>
        <w:t>. In Ireland abortion is criminalized under section 22 of the Protection of Life During Pregnancy Act, including in cases of rape, incest, fatal foetal abnormality and serious risks to the health of the mother, which may lead to up to 14 years imprisonment, except in cases that constitutes a “real and substantive risk” to the life of a pregnant women</w:t>
      </w:r>
    </w:p>
  </w:footnote>
  <w:footnote w:id="53">
    <w:p w14:paraId="093C9F8B" w14:textId="77777777" w:rsidR="00D572BB" w:rsidRDefault="00D572BB" w:rsidP="00743994">
      <w:pPr>
        <w:pStyle w:val="FootnoteText"/>
      </w:pPr>
      <w:r>
        <w:rPr>
          <w:rStyle w:val="FootnoteReference"/>
        </w:rPr>
        <w:footnoteRef/>
      </w:r>
      <w:r>
        <w:t xml:space="preserve"> </w:t>
      </w:r>
      <w:r w:rsidRPr="001D63F7">
        <w:t>UN Human Rights Committee, Concluding Comments in Relation to Ireland, 2014, Paragraph 9, available at http://www.ihrec.ie/download/pdf/un_hrc_concluding_observations_on_ireland_and_iccpr_24_july_2014.pdf. UN Committee on Economic, Social and Cultural Rights, Concluding Comments in Relation to Ireland, 2015, E/C.12/IRL/CO/3, CCPR/C/IRL/CO/4.</w:t>
      </w:r>
    </w:p>
  </w:footnote>
  <w:footnote w:id="54">
    <w:p w14:paraId="08FF39EA" w14:textId="77777777" w:rsidR="00D572BB" w:rsidRDefault="00D572BB" w:rsidP="00484CC4">
      <w:pPr>
        <w:pStyle w:val="FootnoteText"/>
      </w:pPr>
      <w:r>
        <w:rPr>
          <w:rStyle w:val="FootnoteReference"/>
        </w:rPr>
        <w:footnoteRef/>
      </w:r>
      <w:r>
        <w:t xml:space="preserve"> </w:t>
      </w:r>
      <w:r w:rsidRPr="001D63F7">
        <w:t>UN Human Rights Committee, Concluding Comments in Relation to Ireland, 2014, Paragraph 9, available at http://www.ihrec.ie/download/pdf/un_hrc_concluding_observations_on_ireland_and_iccpr_24_july_2014.pdf. UN Committee on Economic, Social and Cultural Rights, Concluding Comments in Relation to Ireland, 2015, E/C.12/IRL/CO/3, CCPR/C/IRL/CO/4.</w:t>
      </w:r>
    </w:p>
  </w:footnote>
  <w:footnote w:id="55">
    <w:p w14:paraId="3EC04A50" w14:textId="77777777" w:rsidR="00D572BB" w:rsidRPr="00F75C31" w:rsidRDefault="00D572BB" w:rsidP="00EE0545">
      <w:pPr>
        <w:pStyle w:val="FootnoteText"/>
      </w:pPr>
      <w:r>
        <w:rPr>
          <w:rStyle w:val="FootnoteReference"/>
        </w:rPr>
        <w:footnoteRef/>
      </w:r>
      <w:r>
        <w:t xml:space="preserve"> Social Inclusion Unit, </w:t>
      </w:r>
      <w:r>
        <w:rPr>
          <w:i/>
        </w:rPr>
        <w:t xml:space="preserve">Reducing re-offending by ex-prisoners, </w:t>
      </w:r>
      <w:r>
        <w:t xml:space="preserve">London, 2002. </w:t>
      </w:r>
    </w:p>
  </w:footnote>
  <w:footnote w:id="56">
    <w:p w14:paraId="71EFC078" w14:textId="77777777" w:rsidR="00D572BB" w:rsidRDefault="00D572BB" w:rsidP="00EE0545">
      <w:pPr>
        <w:pStyle w:val="FootnoteText"/>
      </w:pPr>
      <w:r>
        <w:rPr>
          <w:rStyle w:val="FootnoteReference"/>
        </w:rPr>
        <w:footnoteRef/>
      </w:r>
      <w:r>
        <w:t xml:space="preserve"> Cited in Y. </w:t>
      </w:r>
      <w:proofErr w:type="spellStart"/>
      <w:r>
        <w:t>Jewkes</w:t>
      </w:r>
      <w:proofErr w:type="spellEnd"/>
      <w:r>
        <w:t xml:space="preserve"> (ed.), </w:t>
      </w:r>
      <w:r>
        <w:rPr>
          <w:i/>
        </w:rPr>
        <w:t xml:space="preserve">Handbook on Prisons, </w:t>
      </w:r>
      <w:r>
        <w:t xml:space="preserve">William Publishing, Devon, 2007, p. 256. </w:t>
      </w:r>
    </w:p>
  </w:footnote>
  <w:footnote w:id="57">
    <w:p w14:paraId="15B7A5FF" w14:textId="77777777" w:rsidR="00D572BB" w:rsidRDefault="00D572BB" w:rsidP="00EE0545">
      <w:pPr>
        <w:pStyle w:val="FootnoteText"/>
      </w:pPr>
      <w:r>
        <w:rPr>
          <w:rStyle w:val="FootnoteReference"/>
        </w:rPr>
        <w:footnoteRef/>
      </w:r>
      <w:r>
        <w:t xml:space="preserve"> Ibid.</w:t>
      </w:r>
    </w:p>
  </w:footnote>
  <w:footnote w:id="58">
    <w:p w14:paraId="4167D86A" w14:textId="77777777" w:rsidR="00D572BB" w:rsidRPr="00CA4E9A" w:rsidRDefault="00D572BB" w:rsidP="00EE0545">
      <w:pPr>
        <w:pStyle w:val="FootnoteText"/>
      </w:pPr>
      <w:r>
        <w:rPr>
          <w:rStyle w:val="FootnoteReference"/>
        </w:rPr>
        <w:footnoteRef/>
      </w:r>
      <w:r>
        <w:t xml:space="preserve"> S. O’Malley and C.</w:t>
      </w:r>
      <w:r w:rsidRPr="00CA4E9A">
        <w:t xml:space="preserve"> Devaney, ‘Maintaining the mother-child relationship within the Irish prison system: the practitioner perspective’, </w:t>
      </w:r>
      <w:r w:rsidRPr="00CA4E9A">
        <w:rPr>
          <w:i/>
        </w:rPr>
        <w:t>Probation Journal</w:t>
      </w:r>
      <w:r w:rsidRPr="00CA4E9A">
        <w:t>, pp. 1-17, 2016</w:t>
      </w:r>
      <w:r>
        <w:t>. S. O’Malley and C.</w:t>
      </w:r>
      <w:r w:rsidRPr="00CA4E9A">
        <w:t xml:space="preserve"> Devaney, ‘Supporting incarcerated mothers in Ireland with their familial relationships; a case for the revival of the social work role’, </w:t>
      </w:r>
      <w:r w:rsidRPr="00CA4E9A">
        <w:rPr>
          <w:i/>
        </w:rPr>
        <w:t>Probation Journal</w:t>
      </w:r>
      <w:r w:rsidRPr="00CA4E9A">
        <w:t>, pp. 1-17, 2016</w:t>
      </w:r>
      <w:r>
        <w:t>. L.</w:t>
      </w:r>
      <w:r w:rsidRPr="00CA4E9A">
        <w:t xml:space="preserve"> Baldwin, </w:t>
      </w:r>
      <w:r>
        <w:t>‘</w:t>
      </w:r>
      <w:r w:rsidRPr="00CA4E9A">
        <w:t>Alternatives to Custody</w:t>
      </w:r>
      <w:r>
        <w:t>’</w:t>
      </w:r>
      <w:r w:rsidRPr="00CA4E9A">
        <w:t xml:space="preserve">, </w:t>
      </w:r>
      <w:r w:rsidRPr="00CA4E9A">
        <w:rPr>
          <w:i/>
        </w:rPr>
        <w:t>Criminal Law and Justice Weekly</w:t>
      </w:r>
      <w:r>
        <w:t xml:space="preserve">, </w:t>
      </w:r>
      <w:r w:rsidRPr="00CA4E9A">
        <w:t>Vol. 179(45):891-893, 2015.</w:t>
      </w:r>
      <w:r>
        <w:t xml:space="preserve"> </w:t>
      </w:r>
      <w:r>
        <w:t xml:space="preserve">Baroness </w:t>
      </w:r>
      <w:proofErr w:type="spellStart"/>
      <w:r>
        <w:t>Corston</w:t>
      </w:r>
      <w:proofErr w:type="spellEnd"/>
      <w:r>
        <w:t xml:space="preserve">, </w:t>
      </w:r>
      <w:r>
        <w:rPr>
          <w:i/>
        </w:rPr>
        <w:t xml:space="preserve">The </w:t>
      </w:r>
      <w:proofErr w:type="spellStart"/>
      <w:r>
        <w:rPr>
          <w:i/>
        </w:rPr>
        <w:t>Corston</w:t>
      </w:r>
      <w:proofErr w:type="spellEnd"/>
      <w:r>
        <w:rPr>
          <w:i/>
        </w:rPr>
        <w:t xml:space="preserve"> Report</w:t>
      </w:r>
      <w:r>
        <w:t xml:space="preserve">, 2010. </w:t>
      </w:r>
    </w:p>
  </w:footnote>
  <w:footnote w:id="59">
    <w:p w14:paraId="47E63DDD" w14:textId="77777777" w:rsidR="00D572BB" w:rsidRPr="00F75C31" w:rsidRDefault="00D572BB" w:rsidP="00EE0545">
      <w:pPr>
        <w:pStyle w:val="FootnoteText"/>
      </w:pPr>
      <w:r>
        <w:rPr>
          <w:rStyle w:val="FootnoteReference"/>
        </w:rPr>
        <w:footnoteRef/>
      </w:r>
      <w:r>
        <w:t xml:space="preserve"> IPRT, </w:t>
      </w:r>
      <w:r>
        <w:rPr>
          <w:i/>
        </w:rPr>
        <w:t xml:space="preserve">Picking Up the Pieces: The Rights and Needs of Children and Families Affected by Imprisonment, </w:t>
      </w:r>
      <w:r>
        <w:t>Dublin.</w:t>
      </w:r>
    </w:p>
  </w:footnote>
  <w:footnote w:id="60">
    <w:p w14:paraId="66E01B94" w14:textId="77777777" w:rsidR="00D572BB" w:rsidRDefault="00D572BB" w:rsidP="00EE0545">
      <w:pPr>
        <w:pStyle w:val="FootnoteText"/>
      </w:pPr>
      <w:r>
        <w:rPr>
          <w:rStyle w:val="FootnoteReference"/>
        </w:rPr>
        <w:footnoteRef/>
      </w:r>
      <w:r>
        <w:t xml:space="preserve"> CEDAW Convention, Article 5 (b). </w:t>
      </w:r>
    </w:p>
  </w:footnote>
  <w:footnote w:id="61">
    <w:p w14:paraId="3E8EE3DE" w14:textId="77777777" w:rsidR="00D572BB" w:rsidRPr="008D365E" w:rsidRDefault="00D572BB" w:rsidP="00EE0545">
      <w:pPr>
        <w:pStyle w:val="FootnoteText"/>
      </w:pPr>
      <w:r>
        <w:rPr>
          <w:rStyle w:val="FootnoteReference"/>
        </w:rPr>
        <w:footnoteRef/>
      </w:r>
      <w:r>
        <w:t xml:space="preserve"> </w:t>
      </w:r>
      <w:proofErr w:type="spellStart"/>
      <w:r>
        <w:t>Dóchas</w:t>
      </w:r>
      <w:proofErr w:type="spellEnd"/>
      <w:r>
        <w:t xml:space="preserve"> Visiting Committee, </w:t>
      </w:r>
      <w:r>
        <w:rPr>
          <w:i/>
        </w:rPr>
        <w:t>Annual Report</w:t>
      </w:r>
      <w:r>
        <w:t xml:space="preserve">, 2015. </w:t>
      </w:r>
      <w:proofErr w:type="spellStart"/>
      <w:r>
        <w:t>Dóchas</w:t>
      </w:r>
      <w:proofErr w:type="spellEnd"/>
      <w:r>
        <w:t xml:space="preserve"> Visiting Committee, </w:t>
      </w:r>
      <w:r>
        <w:rPr>
          <w:i/>
        </w:rPr>
        <w:t>Annual Report</w:t>
      </w:r>
      <w:r>
        <w:t xml:space="preserve">, 2014. </w:t>
      </w:r>
    </w:p>
  </w:footnote>
  <w:footnote w:id="62">
    <w:p w14:paraId="0AC89318" w14:textId="77777777" w:rsidR="00D572BB" w:rsidRDefault="00D572BB" w:rsidP="00EE0545">
      <w:pPr>
        <w:pStyle w:val="FootnoteText"/>
      </w:pPr>
      <w:r>
        <w:rPr>
          <w:rStyle w:val="FootnoteReference"/>
        </w:rPr>
        <w:footnoteRef/>
      </w:r>
      <w:r>
        <w:t xml:space="preserve"> Bangkok Rules, 2010, Point 9. </w:t>
      </w:r>
    </w:p>
  </w:footnote>
  <w:footnote w:id="63">
    <w:p w14:paraId="4BBFB238" w14:textId="77777777" w:rsidR="00D572BB" w:rsidRPr="008906EB" w:rsidRDefault="00D572BB" w:rsidP="00EE0545">
      <w:pPr>
        <w:pStyle w:val="FootnoteText"/>
      </w:pPr>
      <w:r>
        <w:rPr>
          <w:rStyle w:val="FootnoteReference"/>
        </w:rPr>
        <w:footnoteRef/>
      </w:r>
      <w:r>
        <w:t xml:space="preserve"> IPRT, </w:t>
      </w:r>
      <w:r>
        <w:rPr>
          <w:i/>
        </w:rPr>
        <w:t>Picking Up the Pieces: The Rights and Needs of Children and Families Affected by Imprisonment</w:t>
      </w:r>
      <w:r>
        <w:t xml:space="preserve">, 2012.  O’Malley and </w:t>
      </w:r>
      <w:r w:rsidRPr="00CA4E9A">
        <w:t xml:space="preserve">Devaney, ‘Maintaining the mother-child relationship within the Irish prison system: the practitioner perspective’, </w:t>
      </w:r>
      <w:r w:rsidRPr="00CA4E9A">
        <w:rPr>
          <w:i/>
        </w:rPr>
        <w:t>Probation Journal</w:t>
      </w:r>
      <w:r w:rsidRPr="00CA4E9A">
        <w:t>, pp. 1-17, 2016</w:t>
      </w:r>
      <w:r>
        <w:t xml:space="preserve">. </w:t>
      </w:r>
      <w:r w:rsidRPr="00CA4E9A">
        <w:t xml:space="preserve">Lucy Baldwin, Alternatives to Custody, </w:t>
      </w:r>
      <w:r w:rsidRPr="00CA4E9A">
        <w:rPr>
          <w:i/>
        </w:rPr>
        <w:t>Criminal Law and Justice Weekly</w:t>
      </w:r>
      <w:r>
        <w:t xml:space="preserve">, </w:t>
      </w:r>
      <w:r w:rsidRPr="00CA4E9A">
        <w:t>Vol. 179(45):891-893, 2015.</w:t>
      </w:r>
    </w:p>
  </w:footnote>
  <w:footnote w:id="64">
    <w:p w14:paraId="1424F885" w14:textId="148CE3B9" w:rsidR="00D572BB" w:rsidRPr="00A14F73" w:rsidRDefault="00D572BB" w:rsidP="00EE0545">
      <w:pPr>
        <w:pStyle w:val="FootnoteText"/>
      </w:pPr>
      <w:r>
        <w:rPr>
          <w:rStyle w:val="FootnoteReference"/>
        </w:rPr>
        <w:footnoteRef/>
      </w:r>
      <w:r>
        <w:t xml:space="preserve"> IPRT, </w:t>
      </w:r>
      <w:r w:rsidRPr="00A14F73">
        <w:rPr>
          <w:i/>
        </w:rPr>
        <w:t>Picking Up the Pieces</w:t>
      </w:r>
      <w:r>
        <w:t xml:space="preserve">, p. 21. O’Malley and Devaney, ‘Maintaining the Mother-Child Relationship’, pp. 1-11. </w:t>
      </w:r>
    </w:p>
  </w:footnote>
  <w:footnote w:id="65">
    <w:p w14:paraId="695EC88D" w14:textId="77777777" w:rsidR="00D572BB" w:rsidRPr="00104A33" w:rsidRDefault="00D572BB" w:rsidP="00EE0545">
      <w:pPr>
        <w:pStyle w:val="FootnoteText"/>
      </w:pPr>
      <w:r>
        <w:rPr>
          <w:rStyle w:val="FootnoteReference"/>
        </w:rPr>
        <w:footnoteRef/>
      </w:r>
      <w:r>
        <w:t xml:space="preserve"> K. </w:t>
      </w:r>
      <w:proofErr w:type="spellStart"/>
      <w:r>
        <w:t>Celinska</w:t>
      </w:r>
      <w:proofErr w:type="spellEnd"/>
      <w:r>
        <w:t xml:space="preserve">, ‘The role of family in the lives of incarcerated women’, </w:t>
      </w:r>
      <w:r>
        <w:rPr>
          <w:i/>
        </w:rPr>
        <w:t xml:space="preserve">Prison Service Journal, </w:t>
      </w:r>
      <w:r>
        <w:t xml:space="preserve">May 2013. </w:t>
      </w:r>
    </w:p>
  </w:footnote>
  <w:footnote w:id="66">
    <w:p w14:paraId="7440B8F0" w14:textId="77777777" w:rsidR="00D572BB" w:rsidRPr="00C60CDF" w:rsidRDefault="00D572BB" w:rsidP="00EE0545">
      <w:pPr>
        <w:pStyle w:val="FootnoteText"/>
        <w:rPr>
          <w:i/>
        </w:rPr>
      </w:pPr>
      <w:r>
        <w:rPr>
          <w:rStyle w:val="FootnoteReference"/>
        </w:rPr>
        <w:footnoteRef/>
      </w:r>
      <w:r>
        <w:t xml:space="preserve"> IPRT, </w:t>
      </w:r>
      <w:r>
        <w:rPr>
          <w:i/>
        </w:rPr>
        <w:t xml:space="preserve">Picking Up the Pieces. </w:t>
      </w:r>
    </w:p>
  </w:footnote>
  <w:footnote w:id="67">
    <w:p w14:paraId="1B14C1BD" w14:textId="77777777" w:rsidR="00D572BB" w:rsidRPr="00181412" w:rsidRDefault="00D572BB" w:rsidP="00EE0545">
      <w:pPr>
        <w:pStyle w:val="FootnoteText"/>
        <w:tabs>
          <w:tab w:val="left" w:pos="7335"/>
        </w:tabs>
      </w:pPr>
      <w:r>
        <w:rPr>
          <w:rStyle w:val="FootnoteReference"/>
        </w:rPr>
        <w:footnoteRef/>
      </w:r>
      <w:r>
        <w:t xml:space="preserve"> </w:t>
      </w:r>
      <w:r>
        <w:t xml:space="preserve">IPRT, </w:t>
      </w:r>
      <w:r>
        <w:rPr>
          <w:i/>
        </w:rPr>
        <w:t xml:space="preserve">Monitoring of HIV, HCV, TB in Prison: National Report on Ireland, </w:t>
      </w:r>
      <w:r>
        <w:t xml:space="preserve">2016, p. 34. </w:t>
      </w:r>
      <w:r>
        <w:tab/>
      </w:r>
    </w:p>
  </w:footnote>
  <w:footnote w:id="68">
    <w:p w14:paraId="0659228A" w14:textId="77777777" w:rsidR="00D572BB" w:rsidRPr="00A343B0" w:rsidRDefault="00D572BB" w:rsidP="00EE0545">
      <w:pPr>
        <w:pStyle w:val="FootnoteText"/>
      </w:pPr>
      <w:r>
        <w:rPr>
          <w:rStyle w:val="FootnoteReference"/>
        </w:rPr>
        <w:footnoteRef/>
      </w:r>
      <w:r>
        <w:t xml:space="preserve"> G. </w:t>
      </w:r>
      <w:proofErr w:type="spellStart"/>
      <w:r>
        <w:t>Ahearne</w:t>
      </w:r>
      <w:proofErr w:type="spellEnd"/>
      <w:r>
        <w:t xml:space="preserve">, ‘Paying the Price: Sex Workers in Prison and the Reality of Stigma’, </w:t>
      </w:r>
      <w:r>
        <w:rPr>
          <w:i/>
        </w:rPr>
        <w:t xml:space="preserve">Prison Service Journal, </w:t>
      </w:r>
      <w:r>
        <w:t xml:space="preserve">January 2016, pp. 24-30. </w:t>
      </w:r>
    </w:p>
  </w:footnote>
  <w:footnote w:id="69">
    <w:p w14:paraId="59E2BD44" w14:textId="77777777" w:rsidR="00D572BB" w:rsidRPr="00A343B0" w:rsidRDefault="00D572BB" w:rsidP="00484CC4">
      <w:pPr>
        <w:pStyle w:val="FootnoteText"/>
      </w:pPr>
      <w:r>
        <w:rPr>
          <w:rStyle w:val="FootnoteReference"/>
        </w:rPr>
        <w:footnoteRef/>
      </w:r>
      <w:r>
        <w:t xml:space="preserve"> G. </w:t>
      </w:r>
      <w:proofErr w:type="spellStart"/>
      <w:r>
        <w:t>Ahearne</w:t>
      </w:r>
      <w:proofErr w:type="spellEnd"/>
      <w:r>
        <w:t xml:space="preserve">, ‘Paying the Price: Sex Workers in Prison and the Reality of Stigma’, </w:t>
      </w:r>
      <w:r>
        <w:rPr>
          <w:i/>
        </w:rPr>
        <w:t xml:space="preserve">Prison Service Journal, </w:t>
      </w:r>
      <w:r>
        <w:t xml:space="preserve">January 2016, pp. 24-30. </w:t>
      </w:r>
    </w:p>
  </w:footnote>
  <w:footnote w:id="70">
    <w:p w14:paraId="4555A1E7" w14:textId="77777777" w:rsidR="00D572BB" w:rsidRDefault="00D572BB" w:rsidP="00EE0545">
      <w:pPr>
        <w:pStyle w:val="FootnoteText"/>
      </w:pPr>
      <w:r>
        <w:rPr>
          <w:rStyle w:val="FootnoteReference"/>
        </w:rPr>
        <w:footnoteRef/>
      </w:r>
      <w:r>
        <w:t xml:space="preserve"> </w:t>
      </w:r>
      <w:r>
        <w:t xml:space="preserve">Minister Francis Fitzgerald, </w:t>
      </w:r>
      <w:proofErr w:type="spellStart"/>
      <w:r>
        <w:t>Dáil</w:t>
      </w:r>
      <w:proofErr w:type="spellEnd"/>
      <w:r>
        <w:t xml:space="preserve"> </w:t>
      </w:r>
      <w:proofErr w:type="spellStart"/>
      <w:r>
        <w:t>Éireann</w:t>
      </w:r>
      <w:proofErr w:type="spellEnd"/>
      <w:r>
        <w:t xml:space="preserve"> Debate, </w:t>
      </w:r>
      <w:proofErr w:type="spellStart"/>
      <w:r>
        <w:t>Vol</w:t>
      </w:r>
      <w:proofErr w:type="spellEnd"/>
      <w:r>
        <w:t xml:space="preserve"> 914, No. 1, p. 63, paragraph 83, 21 June 2016, accessible online here: </w:t>
      </w:r>
      <w:r w:rsidRPr="00F11E1D">
        <w:t>https://www.kildarestreet.com/wrans/?id=2016-06-21a.153#g158.r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951F0"/>
    <w:multiLevelType w:val="hybridMultilevel"/>
    <w:tmpl w:val="6CB2516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3870259"/>
    <w:multiLevelType w:val="hybridMultilevel"/>
    <w:tmpl w:val="9F1EBABC"/>
    <w:lvl w:ilvl="0" w:tplc="D5A80BB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nsid w:val="05303D6D"/>
    <w:multiLevelType w:val="hybridMultilevel"/>
    <w:tmpl w:val="D78EE4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7F6E41"/>
    <w:multiLevelType w:val="hybridMultilevel"/>
    <w:tmpl w:val="1F7423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CED14C5"/>
    <w:multiLevelType w:val="hybridMultilevel"/>
    <w:tmpl w:val="E606037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1A87AB8"/>
    <w:multiLevelType w:val="hybridMultilevel"/>
    <w:tmpl w:val="26AA9B3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2591840"/>
    <w:multiLevelType w:val="hybridMultilevel"/>
    <w:tmpl w:val="02247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F67CE2"/>
    <w:multiLevelType w:val="hybridMultilevel"/>
    <w:tmpl w:val="2DB4CF8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CFD4AD9"/>
    <w:multiLevelType w:val="hybridMultilevel"/>
    <w:tmpl w:val="13F604CA"/>
    <w:lvl w:ilvl="0" w:tplc="3D5A32E6">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nsid w:val="1D62631C"/>
    <w:multiLevelType w:val="hybridMultilevel"/>
    <w:tmpl w:val="D4EC1E64"/>
    <w:lvl w:ilvl="0" w:tplc="9EB03A5E">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1820FB4"/>
    <w:multiLevelType w:val="hybridMultilevel"/>
    <w:tmpl w:val="485E9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5083876"/>
    <w:multiLevelType w:val="hybridMultilevel"/>
    <w:tmpl w:val="45C85D8E"/>
    <w:lvl w:ilvl="0" w:tplc="333CE18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5E0200D"/>
    <w:multiLevelType w:val="hybridMultilevel"/>
    <w:tmpl w:val="B7A85C0E"/>
    <w:lvl w:ilvl="0" w:tplc="9EB03A5E">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70A3105"/>
    <w:multiLevelType w:val="hybridMultilevel"/>
    <w:tmpl w:val="8018B96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76859C7"/>
    <w:multiLevelType w:val="hybridMultilevel"/>
    <w:tmpl w:val="BE3EF2E0"/>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5">
    <w:nsid w:val="38560A36"/>
    <w:multiLevelType w:val="hybridMultilevel"/>
    <w:tmpl w:val="F4DC2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535799"/>
    <w:multiLevelType w:val="hybridMultilevel"/>
    <w:tmpl w:val="FAF2C50C"/>
    <w:lvl w:ilvl="0" w:tplc="3110A178">
      <w:start w:val="1"/>
      <w:numFmt w:val="decimal"/>
      <w:lvlText w:val="%1)"/>
      <w:lvlJc w:val="left"/>
      <w:pPr>
        <w:ind w:left="720" w:hanging="360"/>
      </w:pPr>
      <w:rPr>
        <w:rFonts w:asciiTheme="minorHAnsi" w:hAnsiTheme="minorHAnsi"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3F4F7F74"/>
    <w:multiLevelType w:val="hybridMultilevel"/>
    <w:tmpl w:val="410AA6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3FC65971"/>
    <w:multiLevelType w:val="hybridMultilevel"/>
    <w:tmpl w:val="345029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736664"/>
    <w:multiLevelType w:val="hybridMultilevel"/>
    <w:tmpl w:val="DB30686E"/>
    <w:lvl w:ilvl="0" w:tplc="BB1C9A6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0">
    <w:nsid w:val="47FC591C"/>
    <w:multiLevelType w:val="hybridMultilevel"/>
    <w:tmpl w:val="8B8C2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4E231A"/>
    <w:multiLevelType w:val="hybridMultilevel"/>
    <w:tmpl w:val="125A748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4D784566"/>
    <w:multiLevelType w:val="hybridMultilevel"/>
    <w:tmpl w:val="B232CE9E"/>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4EE33280"/>
    <w:multiLevelType w:val="hybridMultilevel"/>
    <w:tmpl w:val="25302D1A"/>
    <w:lvl w:ilvl="0" w:tplc="9EB03A5E">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0272996"/>
    <w:multiLevelType w:val="hybridMultilevel"/>
    <w:tmpl w:val="1F7AF55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5517250E"/>
    <w:multiLevelType w:val="hybridMultilevel"/>
    <w:tmpl w:val="762A8C2C"/>
    <w:lvl w:ilvl="0" w:tplc="9EB03A5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5F144A3"/>
    <w:multiLevelType w:val="hybridMultilevel"/>
    <w:tmpl w:val="762A8C2C"/>
    <w:lvl w:ilvl="0" w:tplc="9EB03A5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5C464096"/>
    <w:multiLevelType w:val="hybridMultilevel"/>
    <w:tmpl w:val="5EE296B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5F1F0376"/>
    <w:multiLevelType w:val="hybridMultilevel"/>
    <w:tmpl w:val="FE000E8A"/>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740E7E80"/>
    <w:multiLevelType w:val="hybridMultilevel"/>
    <w:tmpl w:val="F2BA539E"/>
    <w:lvl w:ilvl="0" w:tplc="734211D8">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nsid w:val="77901F2D"/>
    <w:multiLevelType w:val="hybridMultilevel"/>
    <w:tmpl w:val="60CE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436521"/>
    <w:multiLevelType w:val="hybridMultilevel"/>
    <w:tmpl w:val="DE7CBBE4"/>
    <w:lvl w:ilvl="0" w:tplc="9EB03A5E">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7894135F"/>
    <w:multiLevelType w:val="hybridMultilevel"/>
    <w:tmpl w:val="4D1CAE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7A990ADE"/>
    <w:multiLevelType w:val="hybridMultilevel"/>
    <w:tmpl w:val="972C1F9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8"/>
  </w:num>
  <w:num w:numId="2">
    <w:abstractNumId w:val="30"/>
  </w:num>
  <w:num w:numId="3">
    <w:abstractNumId w:val="24"/>
  </w:num>
  <w:num w:numId="4">
    <w:abstractNumId w:val="0"/>
  </w:num>
  <w:num w:numId="5">
    <w:abstractNumId w:val="10"/>
  </w:num>
  <w:num w:numId="6">
    <w:abstractNumId w:val="2"/>
  </w:num>
  <w:num w:numId="7">
    <w:abstractNumId w:val="17"/>
  </w:num>
  <w:num w:numId="8">
    <w:abstractNumId w:val="13"/>
  </w:num>
  <w:num w:numId="9">
    <w:abstractNumId w:val="25"/>
  </w:num>
  <w:num w:numId="10">
    <w:abstractNumId w:val="28"/>
  </w:num>
  <w:num w:numId="11">
    <w:abstractNumId w:val="26"/>
  </w:num>
  <w:num w:numId="12">
    <w:abstractNumId w:val="23"/>
  </w:num>
  <w:num w:numId="13">
    <w:abstractNumId w:val="12"/>
  </w:num>
  <w:num w:numId="14">
    <w:abstractNumId w:val="31"/>
  </w:num>
  <w:num w:numId="15">
    <w:abstractNumId w:val="9"/>
  </w:num>
  <w:num w:numId="16">
    <w:abstractNumId w:val="7"/>
  </w:num>
  <w:num w:numId="17">
    <w:abstractNumId w:val="14"/>
  </w:num>
  <w:num w:numId="18">
    <w:abstractNumId w:val="11"/>
  </w:num>
  <w:num w:numId="19">
    <w:abstractNumId w:val="19"/>
  </w:num>
  <w:num w:numId="20">
    <w:abstractNumId w:val="21"/>
  </w:num>
  <w:num w:numId="21">
    <w:abstractNumId w:val="33"/>
  </w:num>
  <w:num w:numId="22">
    <w:abstractNumId w:val="3"/>
  </w:num>
  <w:num w:numId="23">
    <w:abstractNumId w:val="27"/>
  </w:num>
  <w:num w:numId="24">
    <w:abstractNumId w:val="5"/>
  </w:num>
  <w:num w:numId="25">
    <w:abstractNumId w:val="4"/>
  </w:num>
  <w:num w:numId="26">
    <w:abstractNumId w:val="22"/>
  </w:num>
  <w:num w:numId="27">
    <w:abstractNumId w:val="29"/>
  </w:num>
  <w:num w:numId="28">
    <w:abstractNumId w:val="16"/>
  </w:num>
  <w:num w:numId="29">
    <w:abstractNumId w:val="32"/>
  </w:num>
  <w:num w:numId="30">
    <w:abstractNumId w:val="1"/>
  </w:num>
  <w:num w:numId="31">
    <w:abstractNumId w:val="8"/>
  </w:num>
  <w:num w:numId="32">
    <w:abstractNumId w:val="20"/>
  </w:num>
  <w:num w:numId="33">
    <w:abstractNumId w:val="15"/>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CB2"/>
    <w:rsid w:val="000018E1"/>
    <w:rsid w:val="00005AD5"/>
    <w:rsid w:val="00007707"/>
    <w:rsid w:val="0003634B"/>
    <w:rsid w:val="0004044F"/>
    <w:rsid w:val="00050361"/>
    <w:rsid w:val="00057BBB"/>
    <w:rsid w:val="0006000C"/>
    <w:rsid w:val="000661B2"/>
    <w:rsid w:val="00067C8D"/>
    <w:rsid w:val="00075B71"/>
    <w:rsid w:val="00090F2C"/>
    <w:rsid w:val="000A1F4C"/>
    <w:rsid w:val="000A21A2"/>
    <w:rsid w:val="000A3404"/>
    <w:rsid w:val="000B1A65"/>
    <w:rsid w:val="000B2465"/>
    <w:rsid w:val="000B5B9C"/>
    <w:rsid w:val="000B6738"/>
    <w:rsid w:val="000B6FA9"/>
    <w:rsid w:val="000C0392"/>
    <w:rsid w:val="000C066B"/>
    <w:rsid w:val="000C5F4E"/>
    <w:rsid w:val="000C78A1"/>
    <w:rsid w:val="000E4B81"/>
    <w:rsid w:val="000E5EF6"/>
    <w:rsid w:val="000F0CB2"/>
    <w:rsid w:val="000F5002"/>
    <w:rsid w:val="00116753"/>
    <w:rsid w:val="001219A1"/>
    <w:rsid w:val="00121DA2"/>
    <w:rsid w:val="00135AB6"/>
    <w:rsid w:val="00143081"/>
    <w:rsid w:val="00143694"/>
    <w:rsid w:val="00151AE5"/>
    <w:rsid w:val="00153885"/>
    <w:rsid w:val="00156D9E"/>
    <w:rsid w:val="0015709E"/>
    <w:rsid w:val="00157894"/>
    <w:rsid w:val="00163D82"/>
    <w:rsid w:val="00163E9C"/>
    <w:rsid w:val="001717DA"/>
    <w:rsid w:val="00181C43"/>
    <w:rsid w:val="00192D15"/>
    <w:rsid w:val="001A0D77"/>
    <w:rsid w:val="001A1A43"/>
    <w:rsid w:val="001C0196"/>
    <w:rsid w:val="001C03F6"/>
    <w:rsid w:val="001C3FB4"/>
    <w:rsid w:val="001C60F3"/>
    <w:rsid w:val="001C7A0A"/>
    <w:rsid w:val="001E3F76"/>
    <w:rsid w:val="001E4AF2"/>
    <w:rsid w:val="001E5DFB"/>
    <w:rsid w:val="001F05C3"/>
    <w:rsid w:val="001F7E66"/>
    <w:rsid w:val="00207998"/>
    <w:rsid w:val="0021043C"/>
    <w:rsid w:val="00217771"/>
    <w:rsid w:val="00227B55"/>
    <w:rsid w:val="00236A39"/>
    <w:rsid w:val="0024579C"/>
    <w:rsid w:val="0025231E"/>
    <w:rsid w:val="00256DD6"/>
    <w:rsid w:val="00260CD7"/>
    <w:rsid w:val="002653F3"/>
    <w:rsid w:val="00265FB6"/>
    <w:rsid w:val="00273365"/>
    <w:rsid w:val="00280BD8"/>
    <w:rsid w:val="00287A11"/>
    <w:rsid w:val="0029231D"/>
    <w:rsid w:val="00292A37"/>
    <w:rsid w:val="002A03BD"/>
    <w:rsid w:val="002A36E1"/>
    <w:rsid w:val="002D6253"/>
    <w:rsid w:val="002E2FB2"/>
    <w:rsid w:val="002E396E"/>
    <w:rsid w:val="002E4195"/>
    <w:rsid w:val="002E686E"/>
    <w:rsid w:val="002E77EF"/>
    <w:rsid w:val="002F309C"/>
    <w:rsid w:val="00301594"/>
    <w:rsid w:val="00307021"/>
    <w:rsid w:val="00315F9F"/>
    <w:rsid w:val="00333593"/>
    <w:rsid w:val="003555F2"/>
    <w:rsid w:val="003654E4"/>
    <w:rsid w:val="00380AF2"/>
    <w:rsid w:val="00382B2B"/>
    <w:rsid w:val="00382D7F"/>
    <w:rsid w:val="003A3E7B"/>
    <w:rsid w:val="003A7B54"/>
    <w:rsid w:val="003B5BF0"/>
    <w:rsid w:val="003C3995"/>
    <w:rsid w:val="003C3C4D"/>
    <w:rsid w:val="003E109F"/>
    <w:rsid w:val="003E28C7"/>
    <w:rsid w:val="003F4502"/>
    <w:rsid w:val="003F56AB"/>
    <w:rsid w:val="004029E1"/>
    <w:rsid w:val="0041666B"/>
    <w:rsid w:val="00431F49"/>
    <w:rsid w:val="00445151"/>
    <w:rsid w:val="00456754"/>
    <w:rsid w:val="00460EE6"/>
    <w:rsid w:val="00472A78"/>
    <w:rsid w:val="00484CC4"/>
    <w:rsid w:val="00486A76"/>
    <w:rsid w:val="004A71A9"/>
    <w:rsid w:val="004B2075"/>
    <w:rsid w:val="004B233E"/>
    <w:rsid w:val="004B593A"/>
    <w:rsid w:val="004B781E"/>
    <w:rsid w:val="004D630F"/>
    <w:rsid w:val="004E6C84"/>
    <w:rsid w:val="004F201E"/>
    <w:rsid w:val="005213DA"/>
    <w:rsid w:val="005262FA"/>
    <w:rsid w:val="00530D2D"/>
    <w:rsid w:val="00544410"/>
    <w:rsid w:val="00547135"/>
    <w:rsid w:val="00556047"/>
    <w:rsid w:val="00557D1D"/>
    <w:rsid w:val="005609F1"/>
    <w:rsid w:val="005833B9"/>
    <w:rsid w:val="00583F1B"/>
    <w:rsid w:val="00594BB1"/>
    <w:rsid w:val="005A607A"/>
    <w:rsid w:val="005B43D3"/>
    <w:rsid w:val="005C42D9"/>
    <w:rsid w:val="005C7603"/>
    <w:rsid w:val="005E40AE"/>
    <w:rsid w:val="005E6B7D"/>
    <w:rsid w:val="005F782F"/>
    <w:rsid w:val="00610AA7"/>
    <w:rsid w:val="006333CA"/>
    <w:rsid w:val="00656DB1"/>
    <w:rsid w:val="00660340"/>
    <w:rsid w:val="00661D2C"/>
    <w:rsid w:val="00662F4C"/>
    <w:rsid w:val="0066545D"/>
    <w:rsid w:val="006700CE"/>
    <w:rsid w:val="00672674"/>
    <w:rsid w:val="00672961"/>
    <w:rsid w:val="006766C7"/>
    <w:rsid w:val="0068128F"/>
    <w:rsid w:val="006825E1"/>
    <w:rsid w:val="00687106"/>
    <w:rsid w:val="00692928"/>
    <w:rsid w:val="00696C1D"/>
    <w:rsid w:val="006B0CE9"/>
    <w:rsid w:val="006C79CD"/>
    <w:rsid w:val="007168A8"/>
    <w:rsid w:val="0071746D"/>
    <w:rsid w:val="0072169C"/>
    <w:rsid w:val="00726A8C"/>
    <w:rsid w:val="00727BB6"/>
    <w:rsid w:val="007368FF"/>
    <w:rsid w:val="00743994"/>
    <w:rsid w:val="00753749"/>
    <w:rsid w:val="00755887"/>
    <w:rsid w:val="00755C76"/>
    <w:rsid w:val="00756574"/>
    <w:rsid w:val="007666B2"/>
    <w:rsid w:val="007701D7"/>
    <w:rsid w:val="0078067D"/>
    <w:rsid w:val="00793F4A"/>
    <w:rsid w:val="0079537C"/>
    <w:rsid w:val="007A0A3C"/>
    <w:rsid w:val="007A330C"/>
    <w:rsid w:val="007A3F69"/>
    <w:rsid w:val="007B16E1"/>
    <w:rsid w:val="007B22DD"/>
    <w:rsid w:val="007C6C6C"/>
    <w:rsid w:val="007C6FCB"/>
    <w:rsid w:val="007C71FA"/>
    <w:rsid w:val="007D1FDD"/>
    <w:rsid w:val="007E1849"/>
    <w:rsid w:val="0080106B"/>
    <w:rsid w:val="008152AF"/>
    <w:rsid w:val="00820073"/>
    <w:rsid w:val="00825071"/>
    <w:rsid w:val="00831349"/>
    <w:rsid w:val="00832EFA"/>
    <w:rsid w:val="00834671"/>
    <w:rsid w:val="00870829"/>
    <w:rsid w:val="0089244F"/>
    <w:rsid w:val="008A394D"/>
    <w:rsid w:val="008A40EF"/>
    <w:rsid w:val="008B15F9"/>
    <w:rsid w:val="008B1D33"/>
    <w:rsid w:val="008B4C83"/>
    <w:rsid w:val="008B7B24"/>
    <w:rsid w:val="008C0BE7"/>
    <w:rsid w:val="008C3665"/>
    <w:rsid w:val="008D40D8"/>
    <w:rsid w:val="0090049E"/>
    <w:rsid w:val="009024E7"/>
    <w:rsid w:val="00914F16"/>
    <w:rsid w:val="0091773D"/>
    <w:rsid w:val="00940613"/>
    <w:rsid w:val="009446EC"/>
    <w:rsid w:val="00944707"/>
    <w:rsid w:val="00962A38"/>
    <w:rsid w:val="00972093"/>
    <w:rsid w:val="00982460"/>
    <w:rsid w:val="00982879"/>
    <w:rsid w:val="009838D6"/>
    <w:rsid w:val="009851E9"/>
    <w:rsid w:val="00994C47"/>
    <w:rsid w:val="009C2C90"/>
    <w:rsid w:val="00A0462A"/>
    <w:rsid w:val="00A1250C"/>
    <w:rsid w:val="00A310E0"/>
    <w:rsid w:val="00A445BC"/>
    <w:rsid w:val="00A44766"/>
    <w:rsid w:val="00A734CD"/>
    <w:rsid w:val="00A75614"/>
    <w:rsid w:val="00A825ED"/>
    <w:rsid w:val="00A870FA"/>
    <w:rsid w:val="00A96283"/>
    <w:rsid w:val="00AA0001"/>
    <w:rsid w:val="00AA2686"/>
    <w:rsid w:val="00AB2E5B"/>
    <w:rsid w:val="00AD1718"/>
    <w:rsid w:val="00AD26CE"/>
    <w:rsid w:val="00AE597D"/>
    <w:rsid w:val="00B06B60"/>
    <w:rsid w:val="00B164AF"/>
    <w:rsid w:val="00B212E2"/>
    <w:rsid w:val="00B24CB2"/>
    <w:rsid w:val="00B3258B"/>
    <w:rsid w:val="00B35769"/>
    <w:rsid w:val="00B61FDF"/>
    <w:rsid w:val="00B66302"/>
    <w:rsid w:val="00B748D2"/>
    <w:rsid w:val="00B91979"/>
    <w:rsid w:val="00BA473F"/>
    <w:rsid w:val="00BB4EA9"/>
    <w:rsid w:val="00BC659A"/>
    <w:rsid w:val="00BE4D54"/>
    <w:rsid w:val="00BE5515"/>
    <w:rsid w:val="00BF44B9"/>
    <w:rsid w:val="00C11FA1"/>
    <w:rsid w:val="00C47D60"/>
    <w:rsid w:val="00C51661"/>
    <w:rsid w:val="00C5236F"/>
    <w:rsid w:val="00C52BDB"/>
    <w:rsid w:val="00C53EBB"/>
    <w:rsid w:val="00C56714"/>
    <w:rsid w:val="00C62619"/>
    <w:rsid w:val="00C63E7F"/>
    <w:rsid w:val="00C74185"/>
    <w:rsid w:val="00C84872"/>
    <w:rsid w:val="00CA5340"/>
    <w:rsid w:val="00CB087F"/>
    <w:rsid w:val="00CB1FC8"/>
    <w:rsid w:val="00CC570E"/>
    <w:rsid w:val="00CC7E14"/>
    <w:rsid w:val="00CE2C1D"/>
    <w:rsid w:val="00CE4C35"/>
    <w:rsid w:val="00D149DA"/>
    <w:rsid w:val="00D22DCB"/>
    <w:rsid w:val="00D40B29"/>
    <w:rsid w:val="00D4597B"/>
    <w:rsid w:val="00D572BB"/>
    <w:rsid w:val="00D61136"/>
    <w:rsid w:val="00D677C7"/>
    <w:rsid w:val="00D74744"/>
    <w:rsid w:val="00D86E84"/>
    <w:rsid w:val="00D93FCE"/>
    <w:rsid w:val="00D954C4"/>
    <w:rsid w:val="00D97BE4"/>
    <w:rsid w:val="00DC7FBF"/>
    <w:rsid w:val="00DD30B4"/>
    <w:rsid w:val="00DE705A"/>
    <w:rsid w:val="00E01035"/>
    <w:rsid w:val="00E014EE"/>
    <w:rsid w:val="00E230AD"/>
    <w:rsid w:val="00E2505B"/>
    <w:rsid w:val="00E31644"/>
    <w:rsid w:val="00E32493"/>
    <w:rsid w:val="00E33A64"/>
    <w:rsid w:val="00E72EF5"/>
    <w:rsid w:val="00E777EA"/>
    <w:rsid w:val="00E8783D"/>
    <w:rsid w:val="00EA5727"/>
    <w:rsid w:val="00EA63CC"/>
    <w:rsid w:val="00EB32AB"/>
    <w:rsid w:val="00EC67BA"/>
    <w:rsid w:val="00EE0545"/>
    <w:rsid w:val="00EE6603"/>
    <w:rsid w:val="00EF2073"/>
    <w:rsid w:val="00EF35A8"/>
    <w:rsid w:val="00EF3BAC"/>
    <w:rsid w:val="00EF636F"/>
    <w:rsid w:val="00F006CB"/>
    <w:rsid w:val="00F03650"/>
    <w:rsid w:val="00F11956"/>
    <w:rsid w:val="00F22E45"/>
    <w:rsid w:val="00F41681"/>
    <w:rsid w:val="00F41C17"/>
    <w:rsid w:val="00F44A37"/>
    <w:rsid w:val="00F47C75"/>
    <w:rsid w:val="00F5245E"/>
    <w:rsid w:val="00F62426"/>
    <w:rsid w:val="00F62AD1"/>
    <w:rsid w:val="00F67A80"/>
    <w:rsid w:val="00F76643"/>
    <w:rsid w:val="00F779E2"/>
    <w:rsid w:val="00F92F50"/>
    <w:rsid w:val="00F9537F"/>
    <w:rsid w:val="00FA1684"/>
    <w:rsid w:val="00FA39AD"/>
    <w:rsid w:val="00FB5A99"/>
    <w:rsid w:val="00FD23D6"/>
    <w:rsid w:val="00FE54DA"/>
    <w:rsid w:val="00FF07F2"/>
    <w:rsid w:val="00FF2F1E"/>
    <w:rsid w:val="00FF77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61655"/>
  <w15:chartTrackingRefBased/>
  <w15:docId w15:val="{A2EA883A-698B-4DE2-81D7-70C8EB48F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E0545"/>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734C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Footnote Text Char Char,Footnote Text Char2 Char1,Footnote Text Char Char1 Char1,Footnote Text Char1 Char Char Char,Footnote Text Char Char Char Char Char, Char,Char"/>
    <w:basedOn w:val="Normal"/>
    <w:link w:val="FootnoteTextChar"/>
    <w:uiPriority w:val="99"/>
    <w:unhideWhenUsed/>
    <w:rsid w:val="000F0CB2"/>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1,Footnote Text Char Char Char1,Footnote Text Char2 Char1 Char,Footnote Text Char Char1 Char1 Char,Footnote Text Char1 Char Char Char Char"/>
    <w:basedOn w:val="DefaultParagraphFont"/>
    <w:link w:val="FootnoteText"/>
    <w:uiPriority w:val="99"/>
    <w:semiHidden/>
    <w:rsid w:val="000F0CB2"/>
    <w:rPr>
      <w:sz w:val="20"/>
      <w:szCs w:val="20"/>
    </w:rPr>
  </w:style>
  <w:style w:type="character" w:styleId="FootnoteReference">
    <w:name w:val="footnote reference"/>
    <w:aliases w:val="Footnote Refernece"/>
    <w:uiPriority w:val="99"/>
    <w:rsid w:val="000F0CB2"/>
    <w:rPr>
      <w:vertAlign w:val="superscript"/>
    </w:rPr>
  </w:style>
  <w:style w:type="paragraph" w:styleId="ListParagraph">
    <w:name w:val="List Paragraph"/>
    <w:basedOn w:val="Normal"/>
    <w:uiPriority w:val="34"/>
    <w:qFormat/>
    <w:rsid w:val="00672961"/>
    <w:pPr>
      <w:spacing w:before="60" w:after="200" w:line="276" w:lineRule="auto"/>
      <w:ind w:left="720"/>
      <w:contextualSpacing/>
    </w:pPr>
    <w:rPr>
      <w:rFonts w:ascii="Calibri" w:eastAsia="Calibri" w:hAnsi="Calibri" w:cs="Times New Roman"/>
      <w:lang w:val="en-US"/>
    </w:rPr>
  </w:style>
  <w:style w:type="character" w:customStyle="1" w:styleId="Heading3Char">
    <w:name w:val="Heading 3 Char"/>
    <w:basedOn w:val="DefaultParagraphFont"/>
    <w:link w:val="Heading3"/>
    <w:uiPriority w:val="9"/>
    <w:semiHidden/>
    <w:rsid w:val="00A734CD"/>
    <w:rPr>
      <w:rFonts w:asciiTheme="majorHAnsi" w:eastAsiaTheme="majorEastAsia" w:hAnsiTheme="majorHAnsi" w:cstheme="majorBidi"/>
      <w:color w:val="1F4D78" w:themeColor="accent1" w:themeShade="7F"/>
      <w:sz w:val="24"/>
      <w:szCs w:val="24"/>
    </w:rPr>
  </w:style>
  <w:style w:type="table" w:styleId="TableGrid">
    <w:name w:val="Table Grid"/>
    <w:basedOn w:val="TableNormal"/>
    <w:rsid w:val="003E28C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rsid w:val="00594BB1"/>
    <w:pPr>
      <w:spacing w:before="60" w:after="100" w:line="240" w:lineRule="auto"/>
    </w:pPr>
    <w:rPr>
      <w:rFonts w:eastAsia="Calibri" w:cs="Times New Roman"/>
      <w:sz w:val="20"/>
      <w:szCs w:val="20"/>
      <w:lang w:val="en-GB" w:eastAsia="en-GB"/>
    </w:rPr>
  </w:style>
  <w:style w:type="character" w:customStyle="1" w:styleId="CommentTextChar">
    <w:name w:val="Comment Text Char"/>
    <w:basedOn w:val="DefaultParagraphFont"/>
    <w:link w:val="CommentText"/>
    <w:rsid w:val="00594BB1"/>
    <w:rPr>
      <w:rFonts w:eastAsia="Calibri" w:cs="Times New Roman"/>
      <w:sz w:val="20"/>
      <w:szCs w:val="20"/>
      <w:lang w:val="en-GB" w:eastAsia="en-GB"/>
    </w:rPr>
  </w:style>
  <w:style w:type="paragraph" w:styleId="Header">
    <w:name w:val="header"/>
    <w:basedOn w:val="Normal"/>
    <w:link w:val="HeaderChar"/>
    <w:uiPriority w:val="99"/>
    <w:unhideWhenUsed/>
    <w:rsid w:val="00BE4D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D54"/>
  </w:style>
  <w:style w:type="paragraph" w:styleId="Footer">
    <w:name w:val="footer"/>
    <w:basedOn w:val="Normal"/>
    <w:link w:val="FooterChar"/>
    <w:uiPriority w:val="99"/>
    <w:unhideWhenUsed/>
    <w:rsid w:val="00BE4D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D54"/>
  </w:style>
  <w:style w:type="character" w:styleId="Hyperlink">
    <w:name w:val="Hyperlink"/>
    <w:basedOn w:val="DefaultParagraphFont"/>
    <w:uiPriority w:val="99"/>
    <w:unhideWhenUsed/>
    <w:rsid w:val="00E32493"/>
    <w:rPr>
      <w:color w:val="0563C1" w:themeColor="hyperlink"/>
      <w:u w:val="single"/>
    </w:rPr>
  </w:style>
  <w:style w:type="paragraph" w:styleId="PlainText">
    <w:name w:val="Plain Text"/>
    <w:basedOn w:val="Normal"/>
    <w:link w:val="PlainTextChar"/>
    <w:uiPriority w:val="99"/>
    <w:unhideWhenUsed/>
    <w:rsid w:val="00192D1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2D15"/>
    <w:rPr>
      <w:rFonts w:ascii="Calibri" w:hAnsi="Calibri" w:cs="Consolas"/>
      <w:szCs w:val="21"/>
    </w:rPr>
  </w:style>
  <w:style w:type="character" w:styleId="CommentReference">
    <w:name w:val="annotation reference"/>
    <w:basedOn w:val="DefaultParagraphFont"/>
    <w:uiPriority w:val="99"/>
    <w:semiHidden/>
    <w:unhideWhenUsed/>
    <w:rsid w:val="0025231E"/>
    <w:rPr>
      <w:sz w:val="16"/>
      <w:szCs w:val="16"/>
    </w:rPr>
  </w:style>
  <w:style w:type="paragraph" w:styleId="BalloonText">
    <w:name w:val="Balloon Text"/>
    <w:basedOn w:val="Normal"/>
    <w:link w:val="BalloonTextChar"/>
    <w:uiPriority w:val="99"/>
    <w:semiHidden/>
    <w:unhideWhenUsed/>
    <w:rsid w:val="00F44A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A3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9244F"/>
    <w:pPr>
      <w:spacing w:before="0" w:after="160"/>
    </w:pPr>
    <w:rPr>
      <w:rFonts w:eastAsiaTheme="minorHAnsi" w:cstheme="minorBidi"/>
      <w:b/>
      <w:bCs/>
      <w:lang w:val="en-IE" w:eastAsia="en-US"/>
    </w:rPr>
  </w:style>
  <w:style w:type="character" w:customStyle="1" w:styleId="CommentSubjectChar">
    <w:name w:val="Comment Subject Char"/>
    <w:basedOn w:val="CommentTextChar"/>
    <w:link w:val="CommentSubject"/>
    <w:uiPriority w:val="99"/>
    <w:semiHidden/>
    <w:rsid w:val="0089244F"/>
    <w:rPr>
      <w:rFonts w:eastAsia="Calibri" w:cs="Times New Roman"/>
      <w:b/>
      <w:bCs/>
      <w:sz w:val="20"/>
      <w:szCs w:val="20"/>
      <w:lang w:val="en-GB" w:eastAsia="en-GB"/>
    </w:rPr>
  </w:style>
  <w:style w:type="character" w:customStyle="1" w:styleId="Heading2Char">
    <w:name w:val="Heading 2 Char"/>
    <w:basedOn w:val="DefaultParagraphFont"/>
    <w:link w:val="Heading2"/>
    <w:uiPriority w:val="9"/>
    <w:rsid w:val="00EE0545"/>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D97B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785317">
      <w:bodyDiv w:val="1"/>
      <w:marLeft w:val="0"/>
      <w:marRight w:val="0"/>
      <w:marTop w:val="0"/>
      <w:marBottom w:val="0"/>
      <w:divBdr>
        <w:top w:val="none" w:sz="0" w:space="0" w:color="auto"/>
        <w:left w:val="none" w:sz="0" w:space="0" w:color="auto"/>
        <w:bottom w:val="none" w:sz="0" w:space="0" w:color="auto"/>
        <w:right w:val="none" w:sz="0" w:space="0" w:color="auto"/>
      </w:divBdr>
      <w:divsChild>
        <w:div w:id="376470848">
          <w:marLeft w:val="0"/>
          <w:marRight w:val="0"/>
          <w:marTop w:val="0"/>
          <w:marBottom w:val="0"/>
          <w:divBdr>
            <w:top w:val="none" w:sz="0" w:space="0" w:color="auto"/>
            <w:left w:val="none" w:sz="0" w:space="0" w:color="auto"/>
            <w:bottom w:val="none" w:sz="0" w:space="0" w:color="auto"/>
            <w:right w:val="none" w:sz="0" w:space="0" w:color="auto"/>
          </w:divBdr>
        </w:div>
        <w:div w:id="825433487">
          <w:marLeft w:val="0"/>
          <w:marRight w:val="0"/>
          <w:marTop w:val="0"/>
          <w:marBottom w:val="0"/>
          <w:divBdr>
            <w:top w:val="none" w:sz="0" w:space="0" w:color="auto"/>
            <w:left w:val="none" w:sz="0" w:space="0" w:color="auto"/>
            <w:bottom w:val="none" w:sz="0" w:space="0" w:color="auto"/>
            <w:right w:val="none" w:sz="0" w:space="0" w:color="auto"/>
          </w:divBdr>
        </w:div>
        <w:div w:id="8997136">
          <w:marLeft w:val="0"/>
          <w:marRight w:val="0"/>
          <w:marTop w:val="0"/>
          <w:marBottom w:val="0"/>
          <w:divBdr>
            <w:top w:val="none" w:sz="0" w:space="0" w:color="auto"/>
            <w:left w:val="none" w:sz="0" w:space="0" w:color="auto"/>
            <w:bottom w:val="none" w:sz="0" w:space="0" w:color="auto"/>
            <w:right w:val="none" w:sz="0" w:space="0" w:color="auto"/>
          </w:divBdr>
        </w:div>
        <w:div w:id="61295278">
          <w:marLeft w:val="0"/>
          <w:marRight w:val="0"/>
          <w:marTop w:val="0"/>
          <w:marBottom w:val="0"/>
          <w:divBdr>
            <w:top w:val="none" w:sz="0" w:space="0" w:color="auto"/>
            <w:left w:val="none" w:sz="0" w:space="0" w:color="auto"/>
            <w:bottom w:val="none" w:sz="0" w:space="0" w:color="auto"/>
            <w:right w:val="none" w:sz="0" w:space="0" w:color="auto"/>
          </w:divBdr>
        </w:div>
        <w:div w:id="39794534">
          <w:marLeft w:val="0"/>
          <w:marRight w:val="0"/>
          <w:marTop w:val="0"/>
          <w:marBottom w:val="0"/>
          <w:divBdr>
            <w:top w:val="none" w:sz="0" w:space="0" w:color="auto"/>
            <w:left w:val="none" w:sz="0" w:space="0" w:color="auto"/>
            <w:bottom w:val="none" w:sz="0" w:space="0" w:color="auto"/>
            <w:right w:val="none" w:sz="0" w:space="0" w:color="auto"/>
          </w:divBdr>
        </w:div>
        <w:div w:id="1305965423">
          <w:marLeft w:val="0"/>
          <w:marRight w:val="0"/>
          <w:marTop w:val="0"/>
          <w:marBottom w:val="0"/>
          <w:divBdr>
            <w:top w:val="none" w:sz="0" w:space="0" w:color="auto"/>
            <w:left w:val="none" w:sz="0" w:space="0" w:color="auto"/>
            <w:bottom w:val="none" w:sz="0" w:space="0" w:color="auto"/>
            <w:right w:val="none" w:sz="0" w:space="0" w:color="auto"/>
          </w:divBdr>
        </w:div>
      </w:divsChild>
    </w:div>
    <w:div w:id="756483653">
      <w:bodyDiv w:val="1"/>
      <w:marLeft w:val="0"/>
      <w:marRight w:val="0"/>
      <w:marTop w:val="0"/>
      <w:marBottom w:val="0"/>
      <w:divBdr>
        <w:top w:val="none" w:sz="0" w:space="0" w:color="auto"/>
        <w:left w:val="none" w:sz="0" w:space="0" w:color="auto"/>
        <w:bottom w:val="none" w:sz="0" w:space="0" w:color="auto"/>
        <w:right w:val="none" w:sz="0" w:space="0" w:color="auto"/>
      </w:divBdr>
    </w:div>
    <w:div w:id="986209435">
      <w:bodyDiv w:val="1"/>
      <w:marLeft w:val="0"/>
      <w:marRight w:val="0"/>
      <w:marTop w:val="0"/>
      <w:marBottom w:val="0"/>
      <w:divBdr>
        <w:top w:val="none" w:sz="0" w:space="0" w:color="auto"/>
        <w:left w:val="none" w:sz="0" w:space="0" w:color="auto"/>
        <w:bottom w:val="none" w:sz="0" w:space="0" w:color="auto"/>
        <w:right w:val="none" w:sz="0" w:space="0" w:color="auto"/>
      </w:divBdr>
    </w:div>
    <w:div w:id="1135441614">
      <w:bodyDiv w:val="1"/>
      <w:marLeft w:val="0"/>
      <w:marRight w:val="0"/>
      <w:marTop w:val="0"/>
      <w:marBottom w:val="0"/>
      <w:divBdr>
        <w:top w:val="none" w:sz="0" w:space="0" w:color="auto"/>
        <w:left w:val="none" w:sz="0" w:space="0" w:color="auto"/>
        <w:bottom w:val="none" w:sz="0" w:space="0" w:color="auto"/>
        <w:right w:val="none" w:sz="0" w:space="0" w:color="auto"/>
      </w:divBdr>
    </w:div>
    <w:div w:id="1180508305">
      <w:bodyDiv w:val="1"/>
      <w:marLeft w:val="0"/>
      <w:marRight w:val="0"/>
      <w:marTop w:val="0"/>
      <w:marBottom w:val="0"/>
      <w:divBdr>
        <w:top w:val="none" w:sz="0" w:space="0" w:color="auto"/>
        <w:left w:val="none" w:sz="0" w:space="0" w:color="auto"/>
        <w:bottom w:val="none" w:sz="0" w:space="0" w:color="auto"/>
        <w:right w:val="none" w:sz="0" w:space="0" w:color="auto"/>
      </w:divBdr>
    </w:div>
    <w:div w:id="1223175191">
      <w:bodyDiv w:val="1"/>
      <w:marLeft w:val="0"/>
      <w:marRight w:val="0"/>
      <w:marTop w:val="0"/>
      <w:marBottom w:val="0"/>
      <w:divBdr>
        <w:top w:val="none" w:sz="0" w:space="0" w:color="auto"/>
        <w:left w:val="none" w:sz="0" w:space="0" w:color="auto"/>
        <w:bottom w:val="none" w:sz="0" w:space="0" w:color="auto"/>
        <w:right w:val="none" w:sz="0" w:space="0" w:color="auto"/>
      </w:divBdr>
    </w:div>
    <w:div w:id="1439984619">
      <w:bodyDiv w:val="1"/>
      <w:marLeft w:val="0"/>
      <w:marRight w:val="0"/>
      <w:marTop w:val="0"/>
      <w:marBottom w:val="0"/>
      <w:divBdr>
        <w:top w:val="none" w:sz="0" w:space="0" w:color="auto"/>
        <w:left w:val="none" w:sz="0" w:space="0" w:color="auto"/>
        <w:bottom w:val="none" w:sz="0" w:space="0" w:color="auto"/>
        <w:right w:val="none" w:sz="0" w:space="0" w:color="auto"/>
      </w:divBdr>
      <w:divsChild>
        <w:div w:id="2011134265">
          <w:marLeft w:val="0"/>
          <w:marRight w:val="0"/>
          <w:marTop w:val="0"/>
          <w:marBottom w:val="0"/>
          <w:divBdr>
            <w:top w:val="none" w:sz="0" w:space="0" w:color="auto"/>
            <w:left w:val="none" w:sz="0" w:space="0" w:color="auto"/>
            <w:bottom w:val="none" w:sz="0" w:space="0" w:color="auto"/>
            <w:right w:val="none" w:sz="0" w:space="0" w:color="auto"/>
          </w:divBdr>
        </w:div>
        <w:div w:id="1055355607">
          <w:marLeft w:val="0"/>
          <w:marRight w:val="0"/>
          <w:marTop w:val="0"/>
          <w:marBottom w:val="0"/>
          <w:divBdr>
            <w:top w:val="none" w:sz="0" w:space="0" w:color="auto"/>
            <w:left w:val="none" w:sz="0" w:space="0" w:color="auto"/>
            <w:bottom w:val="none" w:sz="0" w:space="0" w:color="auto"/>
            <w:right w:val="none" w:sz="0" w:space="0" w:color="auto"/>
          </w:divBdr>
        </w:div>
        <w:div w:id="1119180346">
          <w:marLeft w:val="0"/>
          <w:marRight w:val="0"/>
          <w:marTop w:val="0"/>
          <w:marBottom w:val="0"/>
          <w:divBdr>
            <w:top w:val="none" w:sz="0" w:space="0" w:color="auto"/>
            <w:left w:val="none" w:sz="0" w:space="0" w:color="auto"/>
            <w:bottom w:val="none" w:sz="0" w:space="0" w:color="auto"/>
            <w:right w:val="none" w:sz="0" w:space="0" w:color="auto"/>
          </w:divBdr>
        </w:div>
        <w:div w:id="231233908">
          <w:marLeft w:val="0"/>
          <w:marRight w:val="0"/>
          <w:marTop w:val="0"/>
          <w:marBottom w:val="0"/>
          <w:divBdr>
            <w:top w:val="none" w:sz="0" w:space="0" w:color="auto"/>
            <w:left w:val="none" w:sz="0" w:space="0" w:color="auto"/>
            <w:bottom w:val="none" w:sz="0" w:space="0" w:color="auto"/>
            <w:right w:val="none" w:sz="0" w:space="0" w:color="auto"/>
          </w:divBdr>
        </w:div>
        <w:div w:id="1318920787">
          <w:marLeft w:val="0"/>
          <w:marRight w:val="0"/>
          <w:marTop w:val="0"/>
          <w:marBottom w:val="0"/>
          <w:divBdr>
            <w:top w:val="none" w:sz="0" w:space="0" w:color="auto"/>
            <w:left w:val="none" w:sz="0" w:space="0" w:color="auto"/>
            <w:bottom w:val="none" w:sz="0" w:space="0" w:color="auto"/>
            <w:right w:val="none" w:sz="0" w:space="0" w:color="auto"/>
          </w:divBdr>
        </w:div>
      </w:divsChild>
    </w:div>
    <w:div w:id="179039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prt.ie"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perceptionsofpregnancy.com/2014/10/19/pregnancy-childbirth-motherhood-in-prison/" TargetMode="External"/><Relationship Id="rId4" Type="http://schemas.openxmlformats.org/officeDocument/2006/relationships/hyperlink" Target="http://www.ihrec.ie/download/pdf/ihrec_submission_to_cedaw_loipr_2015.pdf" TargetMode="External"/><Relationship Id="rId1" Type="http://schemas.openxmlformats.org/officeDocument/2006/relationships/hyperlink" Target="http://www.iprt.ie/files/IPRT_Position_Paper_on_Women_in_the_Criminal_Justice_System.pdf" TargetMode="External"/><Relationship Id="rId2" Type="http://schemas.openxmlformats.org/officeDocument/2006/relationships/hyperlink" Target="http://www.irishexaminer.com/ireland/location-of-ex-prisoner-facility-sparks-concern-39230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438660DC4D8444A8FAFC8C500AD6749" ma:contentTypeVersion="3" ma:contentTypeDescription="Create a new document." ma:contentTypeScope="" ma:versionID="06faa22d9108acbfbf14ffbd3feeac5e">
  <xsd:schema xmlns:xsd="http://www.w3.org/2001/XMLSchema" xmlns:xs="http://www.w3.org/2001/XMLSchema" xmlns:p="http://schemas.microsoft.com/office/2006/metadata/properties" xmlns:ns2="9ebd9cdd-ad82-4838-86b9-515ec3ef6249" targetNamespace="http://schemas.microsoft.com/office/2006/metadata/properties" ma:root="true" ma:fieldsID="316d0d834e0b9dd693650a573fb9ddf6" ns2:_="">
    <xsd:import namespace="9ebd9cdd-ad82-4838-86b9-515ec3ef6249"/>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d9cdd-ad82-4838-86b9-515ec3ef62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63CC85-EF4E-C044-A1FB-93541B714BD9}">
  <ds:schemaRefs>
    <ds:schemaRef ds:uri="http://schemas.openxmlformats.org/officeDocument/2006/bibliography"/>
  </ds:schemaRefs>
</ds:datastoreItem>
</file>

<file path=customXml/itemProps2.xml><?xml version="1.0" encoding="utf-8"?>
<ds:datastoreItem xmlns:ds="http://schemas.openxmlformats.org/officeDocument/2006/customXml" ds:itemID="{33CCB762-2AE8-461B-BEAD-3BBD4AFB0E4E}"/>
</file>

<file path=customXml/itemProps3.xml><?xml version="1.0" encoding="utf-8"?>
<ds:datastoreItem xmlns:ds="http://schemas.openxmlformats.org/officeDocument/2006/customXml" ds:itemID="{3F494EB0-8957-4DE0-899E-3C0EE77F0CA2}"/>
</file>

<file path=customXml/itemProps4.xml><?xml version="1.0" encoding="utf-8"?>
<ds:datastoreItem xmlns:ds="http://schemas.openxmlformats.org/officeDocument/2006/customXml" ds:itemID="{9CE0F4BD-362A-4EB9-BB3F-D98380363136}"/>
</file>

<file path=docProps/app.xml><?xml version="1.0" encoding="utf-8"?>
<Properties xmlns="http://schemas.openxmlformats.org/officeDocument/2006/extended-properties" xmlns:vt="http://schemas.openxmlformats.org/officeDocument/2006/docPropsVTypes">
  <Template>Normal.dotm</Template>
  <TotalTime>1</TotalTime>
  <Pages>18</Pages>
  <Words>5223</Words>
  <Characters>29775</Characters>
  <Application>Microsoft Macintosh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Deirdre Malone</cp:lastModifiedBy>
  <cp:revision>2</cp:revision>
  <cp:lastPrinted>2016-06-21T12:00:00Z</cp:lastPrinted>
  <dcterms:created xsi:type="dcterms:W3CDTF">2016-09-14T07:35:00Z</dcterms:created>
  <dcterms:modified xsi:type="dcterms:W3CDTF">2016-09-14T07:35:00Z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0x010100E438660DC4D8444A8FAFC8C500AD6749</vt:lpwstr>
  </property>
</Properties>
</file>